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rFonts w:hint="eastAsia"/>
          <w:b/>
          <w:iCs/>
          <w:sz w:val="24"/>
          <w:szCs w:val="18"/>
        </w:rPr>
        <w:t>R1-220</w:t>
      </w:r>
      <w:r>
        <w:rPr>
          <w:rFonts w:hint="eastAsia"/>
          <w:b/>
          <w:iCs/>
          <w:sz w:val="24"/>
          <w:szCs w:val="18"/>
          <w:lang w:val="en-US" w:eastAsia="zh-CN"/>
        </w:rPr>
        <w:t>xxxx</w:t>
      </w:r>
    </w:p>
    <w:p>
      <w:pPr>
        <w:pStyle w:val="117"/>
        <w:outlineLvl w:val="0"/>
        <w:rPr>
          <w:b/>
          <w:sz w:val="24"/>
          <w:szCs w:val="24"/>
        </w:rPr>
      </w:pPr>
      <w:r>
        <w:rPr>
          <w:rFonts w:hint="eastAsia" w:eastAsia="MS Mincho" w:cs="Arial"/>
          <w:b/>
          <w:bCs/>
          <w:sz w:val="24"/>
          <w:szCs w:val="24"/>
          <w:lang w:eastAsia="ja-JP"/>
        </w:rPr>
        <w:t>Toulouse, France, August 22</w:t>
      </w:r>
      <w:r>
        <w:rPr>
          <w:rFonts w:hint="eastAsia" w:eastAsia="MS Mincho" w:cs="Arial"/>
          <w:b/>
          <w:bCs/>
          <w:sz w:val="24"/>
          <w:szCs w:val="24"/>
          <w:vertAlign w:val="superscript"/>
          <w:lang w:eastAsia="ja-JP"/>
        </w:rPr>
        <w:t>nd</w:t>
      </w:r>
      <w:r>
        <w:rPr>
          <w:rFonts w:hint="eastAsia" w:eastAsia="MS Mincho" w:cs="Arial"/>
          <w:b/>
          <w:bCs/>
          <w:sz w:val="24"/>
          <w:szCs w:val="24"/>
          <w:lang w:eastAsia="ja-JP"/>
        </w:rPr>
        <w:t xml:space="preserve"> – 26</w:t>
      </w:r>
      <w:r>
        <w:rPr>
          <w:rFonts w:hint="eastAsia" w:eastAsia="MS Mincho" w:cs="Arial"/>
          <w:b/>
          <w:bCs/>
          <w:sz w:val="24"/>
          <w:szCs w:val="24"/>
          <w:vertAlign w:val="superscript"/>
          <w:lang w:eastAsia="ja-JP"/>
        </w:rPr>
        <w:t>th</w:t>
      </w:r>
      <w:r>
        <w:rPr>
          <w:rFonts w:hint="eastAsia"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rFonts w:hint="eastAsia"/>
                <w:b/>
                <w:color w:val="FF0000"/>
                <w:sz w:val="32"/>
                <w:lang w:val="en-US" w:eastAsia="zh-CN"/>
              </w:rPr>
              <w:t xml:space="preserve">[DRAFT] </w:t>
            </w:r>
            <w:r>
              <w:rPr>
                <w:b/>
                <w:sz w:val="32"/>
              </w:rPr>
              <w:t>CHANGE REQUEST</w:t>
            </w:r>
          </w:p>
        </w:tc>
      </w:tr>
      <w:tr>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Draft 38.214 CR on Msg3 repetition</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(Moderator), vivo</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rPr>
                <w:rFonts w:hint="eastAsia"/>
                <w:lang w:val="en-US" w:eastAsia="zh-CN"/>
              </w:rPr>
              <w:t>R1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NR_cov_enh-Core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08</w:t>
            </w:r>
            <w:r>
              <w:t>-</w:t>
            </w:r>
            <w:r>
              <w:rPr>
                <w:lang w:val="en-US"/>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117"/>
              <w:tabs>
                <w:tab w:val="left" w:pos="950"/>
              </w:tabs>
              <w:spacing w:after="0"/>
              <w:ind w:firstLine="244"/>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723"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Lines="50"/>
              <w:ind w:left="102"/>
              <w:rPr>
                <w:lang w:val="en-US" w:eastAsia="zh-CN"/>
              </w:rPr>
            </w:pPr>
            <w:r>
              <w:rPr>
                <w:lang w:val="en-US" w:eastAsia="zh-CN"/>
              </w:rPr>
              <w:t xml:space="preserve">The RRC IEs for </w:t>
            </w:r>
            <w:r>
              <w:rPr>
                <w:rFonts w:hint="eastAsia"/>
                <w:lang w:val="en-US" w:eastAsia="zh-CN"/>
              </w:rPr>
              <w:t xml:space="preserve">configuring </w:t>
            </w:r>
            <w:r>
              <w:rPr>
                <w:szCs w:val="22"/>
              </w:rPr>
              <w:t xml:space="preserve">candidate </w:t>
            </w:r>
            <w:r>
              <w:t>number</w:t>
            </w:r>
            <w:r>
              <w:rPr>
                <w:rFonts w:hint="eastAsia"/>
                <w:lang w:val="en-US" w:eastAsia="zh-CN"/>
              </w:rPr>
              <w:t>s</w:t>
            </w:r>
            <w:r>
              <w:t xml:space="preserve"> </w:t>
            </w:r>
            <w:r>
              <w:rPr>
                <w:rFonts w:hint="eastAsia"/>
                <w:lang w:val="en-US" w:eastAsia="zh-CN"/>
              </w:rPr>
              <w:t xml:space="preserve">and </w:t>
            </w:r>
            <w:r>
              <w:rPr>
                <w:szCs w:val="22"/>
              </w:rPr>
              <w:t>candidate MCS indexes</w:t>
            </w:r>
            <w:r>
              <w:rPr>
                <w:rFonts w:hint="eastAsia"/>
                <w:szCs w:val="22"/>
                <w:lang w:val="en-US" w:eastAsia="zh-CN"/>
              </w:rPr>
              <w:t xml:space="preserve"> </w:t>
            </w:r>
            <w:r>
              <w:t xml:space="preserve">of </w:t>
            </w:r>
            <w:r>
              <w:rPr>
                <w:rFonts w:hint="eastAsia"/>
                <w:lang w:val="en-US" w:eastAsia="zh-CN"/>
              </w:rPr>
              <w:t xml:space="preserve">Msg3 </w:t>
            </w:r>
            <w:r>
              <w:t>repetitions</w:t>
            </w:r>
            <w:r>
              <w:rPr>
                <w:lang w:val="en-US" w:eastAsia="zh-CN"/>
              </w:rPr>
              <w:t xml:space="preserve"> in TS 38.21</w:t>
            </w:r>
            <w:r>
              <w:rPr>
                <w:rFonts w:hint="eastAsia"/>
                <w:lang w:val="en-US" w:eastAsia="zh-CN"/>
              </w:rPr>
              <w:t>4</w:t>
            </w:r>
            <w:r>
              <w:rPr>
                <w:lang w:val="en-US" w:eastAsia="zh-CN"/>
              </w:rPr>
              <w:t xml:space="preserve"> are not aligned with TS 38.331.</w:t>
            </w:r>
          </w:p>
          <w:p>
            <w:pPr>
              <w:pStyle w:val="117"/>
              <w:spacing w:afterLines="50"/>
              <w:ind w:left="102"/>
              <w:rPr>
                <w:lang w:val="en-US" w:eastAsia="zh-CN"/>
              </w:rPr>
            </w:pPr>
            <w:r>
              <w:rPr>
                <w:rFonts w:hint="eastAsia"/>
                <w:lang w:val="en-US" w:eastAsia="zh-CN"/>
              </w:rPr>
              <w:t xml:space="preserve">In current TS 38.214, RRC IE </w:t>
            </w:r>
            <w:r>
              <w:rPr>
                <w:lang w:val="en-US" w:eastAsia="zh-CN"/>
              </w:rPr>
              <w:t>‘</w:t>
            </w:r>
            <w:r>
              <w:rPr>
                <w:i/>
                <w:iCs/>
                <w:highlight w:val="yellow"/>
              </w:rPr>
              <w:t>numberOfMsg3Repetitions</w:t>
            </w:r>
            <w:r>
              <w:rPr>
                <w:i/>
                <w:iCs/>
                <w:highlight w:val="yellow"/>
                <w:lang w:val="en-US" w:eastAsia="zh-CN"/>
              </w:rPr>
              <w:t>’</w:t>
            </w:r>
            <w:r>
              <w:rPr>
                <w:rFonts w:hint="eastAsia"/>
                <w:lang w:val="en-US" w:eastAsia="zh-CN"/>
              </w:rPr>
              <w:t xml:space="preserve"> is used for configuring a set of candidate numbers for Msg3 repetitions. And RRC IE </w:t>
            </w:r>
            <w:r>
              <w:rPr>
                <w:lang w:val="en-US" w:eastAsia="zh-CN"/>
              </w:rPr>
              <w:t>‘</w:t>
            </w:r>
            <w:r>
              <w:rPr>
                <w:i/>
                <w:iCs/>
                <w:color w:val="000000" w:themeColor="text1"/>
                <w:highlight w:val="yellow"/>
                <w14:textFill>
                  <w14:solidFill>
                    <w14:schemeClr w14:val="tx1"/>
                  </w14:solidFill>
                </w14:textFill>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14:textFill>
                  <w14:solidFill>
                    <w14:schemeClr w14:val="tx1"/>
                  </w14:solidFill>
                </w14:textFill>
              </w:rPr>
              <w:t>mcs-Msg3Repetition</w:t>
            </w:r>
            <w:r>
              <w:rPr>
                <w:rFonts w:hint="eastAsia"/>
                <w:i/>
                <w:iCs/>
                <w:color w:val="000000" w:themeColor="text1"/>
                <w:highlight w:val="yellow"/>
                <w:lang w:val="en-US" w:eastAsia="zh-CN"/>
                <w14:textFill>
                  <w14:solidFill>
                    <w14:schemeClr w14:val="tx1"/>
                  </w14:solidFill>
                </w14:textFill>
              </w:rPr>
              <w:t>s</w:t>
            </w:r>
            <w:r>
              <w:rPr>
                <w:lang w:val="en-US" w:eastAsia="zh-CN"/>
              </w:rPr>
              <w:t>’</w:t>
            </w:r>
            <w:r>
              <w:rPr>
                <w:rFonts w:hint="eastAsia"/>
                <w:lang w:val="en-US" w:eastAsia="zh-CN"/>
              </w:rPr>
              <w:t xml:space="preserve"> is used for configuring candidate MCS indexes for Msg3 repetitions. </w:t>
            </w:r>
          </w:p>
          <w:p>
            <w:pPr>
              <w:pStyle w:val="117"/>
              <w:spacing w:after="0"/>
              <w:ind w:left="100"/>
              <w:rPr>
                <w:lang w:val="en-US" w:eastAsia="zh-CN"/>
              </w:rPr>
            </w:pPr>
            <w:r>
              <w:rPr>
                <w:rFonts w:hint="eastAsia"/>
                <w:lang w:val="en-US" w:eastAsia="zh-CN"/>
              </w:rPr>
              <w:t xml:space="preserve">In TS 38.331, </w:t>
            </w:r>
            <w:bookmarkStart w:id="2" w:name="OLE_LINK3"/>
            <w:r>
              <w:rPr>
                <w:lang w:val="en-US" w:eastAsia="zh-CN"/>
              </w:rPr>
              <w:t>‘</w:t>
            </w:r>
            <w:r>
              <w:rPr>
                <w:i/>
                <w:iCs/>
                <w:highlight w:val="green"/>
              </w:rPr>
              <w:t>numberOfMsg3-RepetitionsList</w:t>
            </w:r>
            <w:r>
              <w:rPr>
                <w:i/>
                <w:iCs/>
                <w:lang w:val="en-US" w:eastAsia="zh-CN"/>
              </w:rPr>
              <w:t>’</w:t>
            </w:r>
            <w:bookmarkEnd w:id="2"/>
            <w:r>
              <w:rPr>
                <w:rFonts w:hint="eastAsia"/>
                <w:i/>
                <w:iCs/>
                <w:lang w:val="en-US" w:eastAsia="zh-CN"/>
              </w:rPr>
              <w:t xml:space="preserve"> </w:t>
            </w:r>
            <w:r>
              <w:rPr>
                <w:rFonts w:hint="eastAsia"/>
                <w:lang w:val="en-US" w:eastAsia="zh-CN"/>
              </w:rPr>
              <w:t xml:space="preserve">is used for configuring the set of candidate repetition numbers, and </w:t>
            </w:r>
            <w:r>
              <w:rPr>
                <w:lang w:val="en-US" w:eastAsia="zh-CN"/>
              </w:rPr>
              <w:t>‘</w:t>
            </w:r>
            <w:r>
              <w:rPr>
                <w:i/>
                <w:iCs/>
                <w:highlight w:val="green"/>
              </w:rPr>
              <w:t>mcs-Msg3-Repetitions</w:t>
            </w:r>
            <w:r>
              <w:rPr>
                <w:lang w:val="en-US" w:eastAsia="zh-CN"/>
              </w:rPr>
              <w:t>’</w:t>
            </w:r>
            <w:r>
              <w:rPr>
                <w:rFonts w:hint="eastAsia"/>
                <w:lang w:val="en-US" w:eastAsia="zh-CN"/>
              </w:rPr>
              <w:t xml:space="preserve"> is used for configuring the candidate MCS indexes for Msg3 repetitions.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i/>
                <w:iCs/>
                <w:lang w:val="en-US" w:eastAsia="zh-CN"/>
              </w:rPr>
            </w:pPr>
            <w:r>
              <w:rPr>
                <w:rFonts w:hint="eastAsia"/>
                <w:lang w:val="en-US" w:eastAsia="zh-CN"/>
              </w:rPr>
              <w:t xml:space="preserve">Change </w:t>
            </w:r>
            <w:r>
              <w:rPr>
                <w:lang w:val="en-US" w:eastAsia="zh-CN"/>
              </w:rPr>
              <w:t>‘</w:t>
            </w:r>
            <w:r>
              <w:rPr>
                <w:i/>
                <w:iCs/>
                <w:highlight w:val="yellow"/>
              </w:rPr>
              <w:t>numberOfMsg3Repetitions</w:t>
            </w:r>
            <w:r>
              <w:rPr>
                <w:lang w:val="en-US" w:eastAsia="zh-CN"/>
              </w:rPr>
              <w:t>’</w:t>
            </w:r>
            <w:r>
              <w:rPr>
                <w:rFonts w:hint="eastAsia"/>
                <w:lang w:val="en-US" w:eastAsia="zh-CN"/>
              </w:rPr>
              <w:t xml:space="preserve"> to </w:t>
            </w:r>
            <w:r>
              <w:rPr>
                <w:lang w:val="en-US" w:eastAsia="zh-CN"/>
              </w:rPr>
              <w:t>‘</w:t>
            </w:r>
            <w:r>
              <w:rPr>
                <w:i/>
                <w:iCs/>
                <w:highlight w:val="green"/>
              </w:rPr>
              <w:t>numberOfMsg3-RepetitionsList</w:t>
            </w:r>
            <w:r>
              <w:rPr>
                <w:i/>
                <w:iCs/>
                <w:lang w:val="en-US" w:eastAsia="zh-CN"/>
              </w:rPr>
              <w:t>’</w:t>
            </w:r>
            <w:r>
              <w:rPr>
                <w:rFonts w:hint="eastAsia"/>
                <w:i/>
                <w:iCs/>
                <w:lang w:val="en-US" w:eastAsia="zh-CN"/>
              </w:rPr>
              <w:t xml:space="preserve">. </w:t>
            </w:r>
          </w:p>
          <w:p>
            <w:pPr>
              <w:pStyle w:val="117"/>
              <w:spacing w:after="0"/>
              <w:ind w:left="100"/>
              <w:rPr>
                <w:i/>
                <w:iCs/>
                <w:lang w:val="en-US" w:eastAsia="zh-CN"/>
              </w:rPr>
            </w:pPr>
            <w:r>
              <w:rPr>
                <w:rFonts w:hint="eastAsia"/>
                <w:i/>
                <w:iCs/>
                <w:lang w:val="en-US" w:eastAsia="zh-CN"/>
              </w:rPr>
              <w:t xml:space="preserve">Change </w:t>
            </w:r>
            <w:r>
              <w:rPr>
                <w:lang w:val="en-US" w:eastAsia="zh-CN"/>
              </w:rPr>
              <w:t>‘</w:t>
            </w:r>
            <w:r>
              <w:rPr>
                <w:i/>
                <w:iCs/>
                <w:color w:val="000000" w:themeColor="text1"/>
                <w:highlight w:val="yellow"/>
                <w14:textFill>
                  <w14:solidFill>
                    <w14:schemeClr w14:val="tx1"/>
                  </w14:solidFill>
                </w14:textFill>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14:textFill>
                  <w14:solidFill>
                    <w14:schemeClr w14:val="tx1"/>
                  </w14:solidFill>
                </w14:textFill>
              </w:rPr>
              <w:t>mcs-Msg3Repetition</w:t>
            </w:r>
            <w:r>
              <w:rPr>
                <w:rFonts w:hint="eastAsia"/>
                <w:i/>
                <w:iCs/>
                <w:color w:val="000000" w:themeColor="text1"/>
                <w:highlight w:val="yellow"/>
                <w:lang w:val="en-US" w:eastAsia="zh-CN"/>
                <w14:textFill>
                  <w14:solidFill>
                    <w14:schemeClr w14:val="tx1"/>
                  </w14:solidFill>
                </w14:textFill>
              </w:rPr>
              <w:t>s</w:t>
            </w:r>
            <w:r>
              <w:rPr>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r>
              <w:rPr>
                <w:i/>
                <w:iCs/>
                <w:highlight w:val="green"/>
              </w:rPr>
              <w:t>mcs-Msg3-Repetitions</w:t>
            </w:r>
            <w:r>
              <w:rPr>
                <w:lang w:val="en-US" w:eastAsia="zh-CN"/>
              </w:rPr>
              <w:t>’</w:t>
            </w:r>
            <w:r>
              <w:rPr>
                <w:rFonts w:hint="eastAsia"/>
                <w:lang w:val="en-US" w:eastAsia="zh-CN"/>
              </w:rPr>
              <w:t>.</w:t>
            </w:r>
          </w:p>
          <w:p>
            <w:pPr>
              <w:pStyle w:val="117"/>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lang w:eastAsia="zh-CN"/>
              </w:rPr>
              <w:t xml:space="preserve">Unaligned RRC parameters among different specifications.  </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6.1.2.1, 6.1.4.1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3" w:name="_Toc45810613"/>
      <w:bookmarkStart w:id="4" w:name="_Toc29674338"/>
      <w:bookmarkStart w:id="5" w:name="_Toc106695658"/>
      <w:bookmarkStart w:id="6" w:name="_Toc29673345"/>
      <w:bookmarkStart w:id="7" w:name="_Toc11352143"/>
      <w:bookmarkStart w:id="8" w:name="_Toc20318033"/>
      <w:bookmarkStart w:id="9" w:name="_Toc27299931"/>
      <w:bookmarkStart w:id="10" w:name="_Toc36645568"/>
      <w:bookmarkStart w:id="11" w:name="_Toc29673204"/>
      <w:bookmarkStart w:id="12" w:name="_Toc27299880"/>
      <w:bookmarkStart w:id="13" w:name="_Toc36117390"/>
      <w:bookmarkStart w:id="14" w:name="_Toc44515882"/>
      <w:bookmarkStart w:id="15" w:name="_Toc83290987"/>
      <w:bookmarkStart w:id="16" w:name="_Toc11352092"/>
      <w:bookmarkStart w:id="17" w:name="_Toc20317982"/>
      <w:r>
        <w:rPr>
          <w:color w:val="000000"/>
        </w:rPr>
        <w:t>6.1.2.1</w:t>
      </w:r>
      <w:r>
        <w:rPr>
          <w:color w:val="000000"/>
        </w:rPr>
        <w:tab/>
      </w:r>
      <w:r>
        <w:rPr>
          <w:color w:val="000000"/>
        </w:rPr>
        <w:t>Resource allocation in time domain</w:t>
      </w:r>
      <w:bookmarkEnd w:id="3"/>
      <w:bookmarkEnd w:id="4"/>
      <w:bookmarkEnd w:id="5"/>
      <w:bookmarkEnd w:id="6"/>
      <w:bookmarkEnd w:id="7"/>
      <w:bookmarkEnd w:id="8"/>
      <w:bookmarkEnd w:id="9"/>
      <w:bookmarkEnd w:id="10"/>
      <w:bookmarkEnd w:id="11"/>
    </w:p>
    <w:p>
      <w:pPr>
        <w:spacing w:before="120" w:line="280" w:lineRule="atLeast"/>
      </w:pPr>
      <w:r>
        <w:rPr>
          <w:b/>
          <w:iCs/>
          <w:color w:val="FF0000"/>
          <w:sz w:val="28"/>
        </w:rPr>
        <w:t>&lt;Unchanged parts are omitted&gt;</w:t>
      </w:r>
    </w:p>
    <w:p>
      <w:r>
        <w:rPr>
          <w:lang w:val="en-US"/>
        </w:rPr>
        <w:t xml:space="preserve">For PUSCH repetition type A, when transmitting PUSCH scheduled by RAR UL grant, </w:t>
      </w:r>
      <w:r>
        <w:t xml:space="preserve">the 2 MSBs of the MCS information field of the RAR UL grant provide a codepoint to determine the number of repetitions </w:t>
      </w:r>
      <w:r>
        <w:rPr>
          <w:i/>
          <w:iCs/>
        </w:rPr>
        <w:t xml:space="preserve">K </w:t>
      </w:r>
      <w:r>
        <w:t xml:space="preserve">according to Table </w:t>
      </w:r>
      <w:r>
        <w:rPr>
          <w:color w:val="000000"/>
        </w:rPr>
        <w:t>6.1.2.1-1A</w:t>
      </w:r>
      <w:r>
        <w:t xml:space="preserve">, based on whether or not the higher layer parameter </w:t>
      </w:r>
      <w:r>
        <w:rPr>
          <w:i/>
          <w:iCs/>
          <w:strike/>
          <w:color w:val="FF0000"/>
        </w:rPr>
        <w:t>numberOfMsg3Repetitions</w:t>
      </w:r>
      <w:r>
        <w:rPr>
          <w:i/>
          <w:iCs/>
          <w:color w:val="FF0000"/>
          <w:u w:val="single"/>
        </w:rPr>
        <w:t>numberOfMsg3-RepetitionsList</w:t>
      </w:r>
      <w:r>
        <w:rPr>
          <w:i/>
          <w:iCs/>
        </w:rPr>
        <w:t xml:space="preserve"> </w:t>
      </w:r>
      <w:r>
        <w:t xml:space="preserve">is configured. </w:t>
      </w:r>
      <w:r>
        <w:rPr>
          <w:rFonts w:eastAsia="Microsoft YaHei UI"/>
          <w:color w:val="000000" w:themeColor="text1"/>
          <w:lang w:val="en-US" w:eastAsia="zh-CN"/>
          <w14:textFill>
            <w14:solidFill>
              <w14:schemeClr w14:val="tx1"/>
            </w14:solidFill>
          </w14:textFill>
        </w:rPr>
        <w:t>The number of slots used for TBS determination N is equal to 1.</w:t>
      </w:r>
    </w:p>
    <w:p>
      <w:r>
        <w:t>F</w:t>
      </w:r>
      <w:r>
        <w:rPr>
          <w:lang w:val="en-US"/>
        </w:rPr>
        <w:t xml:space="preserve">or PUSCH repetition type A, when transmitting PUSCH scheduled by DCI format 0_0 with CRC scrambled by TC-RNTI, </w:t>
      </w:r>
      <w:r>
        <w:t xml:space="preserve">the 2 MSBs of the MCS information field of the </w:t>
      </w:r>
      <w:r>
        <w:rPr>
          <w:lang w:val="en-US"/>
        </w:rPr>
        <w:t>DCI format 0_0 with CRC scrambled by TC-RNTI</w:t>
      </w:r>
      <w:r>
        <w:t xml:space="preserve"> provide a codepoint to determine the number of repetitions </w:t>
      </w:r>
      <w:r>
        <w:rPr>
          <w:i/>
          <w:iCs/>
        </w:rPr>
        <w:t xml:space="preserve">K </w:t>
      </w:r>
      <w:r>
        <w:t xml:space="preserve">according to Table </w:t>
      </w:r>
      <w:r>
        <w:rPr>
          <w:color w:val="000000"/>
        </w:rPr>
        <w:t>6.1.2.1-1A</w:t>
      </w:r>
      <w:r>
        <w:t xml:space="preserve">, based on whether or not the higher layer parameter </w:t>
      </w:r>
      <w:r>
        <w:rPr>
          <w:i/>
          <w:iCs/>
          <w:strike/>
          <w:color w:val="FF0000"/>
        </w:rPr>
        <w:t>numberOfMsg3Repetitions</w:t>
      </w:r>
      <w:r>
        <w:rPr>
          <w:i/>
          <w:iCs/>
          <w:color w:val="FF0000"/>
          <w:u w:val="single"/>
        </w:rPr>
        <w:t>numberOfMsg3-RepetitionsList</w:t>
      </w:r>
      <w:r>
        <w:rPr>
          <w:i/>
          <w:iCs/>
        </w:rPr>
        <w:t xml:space="preserve"> </w:t>
      </w:r>
      <w:r>
        <w:t xml:space="preserve">is configured. </w:t>
      </w:r>
      <w:r>
        <w:rPr>
          <w:rFonts w:eastAsia="Microsoft YaHei UI"/>
          <w:color w:val="000000" w:themeColor="text1"/>
          <w:lang w:val="en-US" w:eastAsia="zh-CN"/>
          <w14:textFill>
            <w14:solidFill>
              <w14:schemeClr w14:val="tx1"/>
            </w14:solidFill>
          </w14:textFill>
        </w:rPr>
        <w:t>The number of slots used for TBS determination N is equal to 1.</w:t>
      </w:r>
    </w:p>
    <w:p>
      <w:pPr>
        <w:pStyle w:val="91"/>
      </w:pPr>
      <w:r>
        <w:t xml:space="preserve">Table </w:t>
      </w:r>
      <w:r>
        <w:rPr>
          <w:color w:val="000000"/>
        </w:rPr>
        <w:t>6.1.2.1-1A</w:t>
      </w:r>
      <w:r>
        <w:t xml:space="preserve">: Number of repetition </w:t>
      </w:r>
      <w:r>
        <w:rPr>
          <w:i/>
          <w:iCs/>
        </w:rPr>
        <w:t>K</w:t>
      </w:r>
      <w:r>
        <w:t xml:space="preserve"> as a function of 2 MSBs of MCS information field</w:t>
      </w:r>
    </w:p>
    <w:tbl>
      <w:tblPr>
        <w:tblStyle w:val="61"/>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3092"/>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87"/>
              <w:rPr>
                <w:lang w:val="en-US" w:eastAsia="zh-CN"/>
              </w:rPr>
            </w:pPr>
            <w:r>
              <w:rPr>
                <w:i/>
                <w:iCs/>
                <w:strike/>
                <w:color w:val="FF0000"/>
              </w:rPr>
              <w:t>numberOfMsg3Repetitions</w:t>
            </w:r>
            <w:r>
              <w:rPr>
                <w:i/>
                <w:iCs/>
                <w:color w:val="FF0000"/>
                <w:u w:val="single"/>
              </w:rPr>
              <w:t>numberOfMsg3-RepetitionsList</w:t>
            </w:r>
            <w:r>
              <w:rPr>
                <w:i/>
                <w:iCs/>
              </w:rPr>
              <w:t xml:space="preserve"> is configured</w:t>
            </w:r>
          </w:p>
        </w:tc>
        <w:tc>
          <w:tcPr>
            <w:tcW w:w="290" w:type="dxa"/>
            <w:shd w:val="clear" w:color="auto" w:fill="E7E6E6"/>
          </w:tcPr>
          <w:p>
            <w:pPr>
              <w:pStyle w:val="87"/>
              <w:rPr>
                <w:lang w:val="en-US" w:eastAsia="zh-CN"/>
              </w:rPr>
            </w:pPr>
          </w:p>
        </w:tc>
        <w:tc>
          <w:tcPr>
            <w:tcW w:w="4607" w:type="dxa"/>
            <w:gridSpan w:val="2"/>
            <w:shd w:val="clear" w:color="auto" w:fill="E7E6E6"/>
          </w:tcPr>
          <w:p>
            <w:pPr>
              <w:pStyle w:val="87"/>
              <w:rPr>
                <w:lang w:val="en-US" w:eastAsia="zh-CN"/>
              </w:rPr>
            </w:pPr>
            <w:r>
              <w:rPr>
                <w:i/>
                <w:iCs/>
                <w:strike/>
                <w:color w:val="FF0000"/>
              </w:rPr>
              <w:t>numberOfMsg3Repetitions</w:t>
            </w:r>
            <w:r>
              <w:rPr>
                <w:i/>
                <w:iCs/>
                <w:color w:val="FF0000"/>
                <w:u w:val="single"/>
              </w:rPr>
              <w:t>numberOfMsg3-RepetitionsList</w:t>
            </w:r>
            <w:r>
              <w:rPr>
                <w:i/>
                <w:iCs/>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644" w:type="dxa"/>
            <w:shd w:val="clear" w:color="auto" w:fill="E7E6E6"/>
            <w:vAlign w:val="center"/>
          </w:tcPr>
          <w:p>
            <w:pPr>
              <w:pStyle w:val="87"/>
              <w:rPr>
                <w:i/>
                <w:lang w:val="en-US" w:eastAsia="zh-CN"/>
              </w:rPr>
            </w:pPr>
            <w:r>
              <w:rPr>
                <w:i/>
                <w:lang w:val="en-US" w:eastAsia="zh-CN"/>
              </w:rPr>
              <w:t>Codepoint</w:t>
            </w:r>
          </w:p>
        </w:tc>
        <w:tc>
          <w:tcPr>
            <w:tcW w:w="3092" w:type="dxa"/>
            <w:shd w:val="clear" w:color="auto" w:fill="E7E6E6"/>
          </w:tcPr>
          <w:p>
            <w:pPr>
              <w:pStyle w:val="87"/>
              <w:rPr>
                <w:i/>
                <w:iCs/>
                <w:lang w:val="en-US" w:eastAsia="zh-CN"/>
              </w:rPr>
            </w:pPr>
            <w:r>
              <w:rPr>
                <w:i/>
                <w:iCs/>
                <w:lang w:val="en-US" w:eastAsia="zh-CN"/>
              </w:rPr>
              <w:t>K</w:t>
            </w:r>
          </w:p>
        </w:tc>
        <w:tc>
          <w:tcPr>
            <w:tcW w:w="290" w:type="dxa"/>
            <w:shd w:val="clear" w:color="auto" w:fill="E7E6E6"/>
          </w:tcPr>
          <w:p>
            <w:pPr>
              <w:pStyle w:val="87"/>
              <w:rPr>
                <w:lang w:val="en-US" w:eastAsia="zh-CN"/>
              </w:rPr>
            </w:pPr>
          </w:p>
        </w:tc>
        <w:tc>
          <w:tcPr>
            <w:tcW w:w="2303" w:type="dxa"/>
            <w:shd w:val="clear" w:color="auto" w:fill="E7E6E6"/>
          </w:tcPr>
          <w:p>
            <w:pPr>
              <w:pStyle w:val="87"/>
              <w:rPr>
                <w:lang w:val="en-US" w:eastAsia="zh-CN"/>
              </w:rPr>
            </w:pPr>
            <w:r>
              <w:rPr>
                <w:lang w:val="en-US" w:eastAsia="zh-CN"/>
              </w:rPr>
              <w:t>Codepoint</w:t>
            </w:r>
          </w:p>
        </w:tc>
        <w:tc>
          <w:tcPr>
            <w:tcW w:w="2304" w:type="dxa"/>
            <w:shd w:val="clear" w:color="auto" w:fill="E7E6E6"/>
          </w:tcPr>
          <w:p>
            <w:pPr>
              <w:pStyle w:val="87"/>
              <w:rPr>
                <w:i/>
                <w:iCs/>
                <w:lang w:val="en-US" w:eastAsia="zh-CN"/>
              </w:rPr>
            </w:pPr>
            <w:r>
              <w:rPr>
                <w:i/>
                <w:iCs/>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44" w:type="dxa"/>
            <w:shd w:val="clear" w:color="auto" w:fill="auto"/>
            <w:vAlign w:val="center"/>
          </w:tcPr>
          <w:p>
            <w:pPr>
              <w:pStyle w:val="88"/>
              <w:rPr>
                <w:lang w:val="en-US" w:eastAsia="zh-CN"/>
              </w:rPr>
            </w:pPr>
            <w:r>
              <w:rPr>
                <w:lang w:val="en-US" w:eastAsia="zh-CN"/>
              </w:rPr>
              <w:t>00</w:t>
            </w:r>
          </w:p>
        </w:tc>
        <w:tc>
          <w:tcPr>
            <w:tcW w:w="3092" w:type="dxa"/>
          </w:tcPr>
          <w:p>
            <w:pPr>
              <w:pStyle w:val="88"/>
              <w:rPr>
                <w:lang w:val="en-US" w:eastAsia="zh-CN"/>
              </w:rPr>
            </w:pPr>
            <w:r>
              <w:rPr>
                <w:lang w:val="en-US" w:eastAsia="zh-CN"/>
              </w:rPr>
              <w:t xml:space="preserve">First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00</w:t>
            </w:r>
          </w:p>
        </w:tc>
        <w:tc>
          <w:tcPr>
            <w:tcW w:w="2304" w:type="dxa"/>
            <w:vAlign w:val="center"/>
          </w:tcPr>
          <w:p>
            <w:pPr>
              <w:pStyle w:val="8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44" w:type="dxa"/>
            <w:shd w:val="clear" w:color="auto" w:fill="auto"/>
            <w:vAlign w:val="center"/>
          </w:tcPr>
          <w:p>
            <w:pPr>
              <w:pStyle w:val="88"/>
              <w:rPr>
                <w:lang w:val="en-US" w:eastAsia="zh-CN"/>
              </w:rPr>
            </w:pPr>
            <w:r>
              <w:rPr>
                <w:lang w:val="en-US" w:eastAsia="zh-CN"/>
              </w:rPr>
              <w:t>01</w:t>
            </w:r>
          </w:p>
        </w:tc>
        <w:tc>
          <w:tcPr>
            <w:tcW w:w="3092" w:type="dxa"/>
          </w:tcPr>
          <w:p>
            <w:pPr>
              <w:pStyle w:val="88"/>
              <w:rPr>
                <w:lang w:val="en-US" w:eastAsia="zh-CN"/>
              </w:rPr>
            </w:pPr>
            <w:r>
              <w:rPr>
                <w:lang w:val="en-US" w:eastAsia="zh-CN"/>
              </w:rPr>
              <w:t xml:space="preserve">Second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01</w:t>
            </w:r>
          </w:p>
        </w:tc>
        <w:tc>
          <w:tcPr>
            <w:tcW w:w="2304" w:type="dxa"/>
            <w:vAlign w:val="center"/>
          </w:tcPr>
          <w:p>
            <w:pPr>
              <w:pStyle w:val="8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44" w:type="dxa"/>
            <w:shd w:val="clear" w:color="auto" w:fill="auto"/>
            <w:vAlign w:val="center"/>
          </w:tcPr>
          <w:p>
            <w:pPr>
              <w:pStyle w:val="88"/>
              <w:rPr>
                <w:lang w:val="fr-FR" w:eastAsia="zh-CN"/>
              </w:rPr>
            </w:pPr>
            <w:r>
              <w:rPr>
                <w:lang w:val="fr-FR" w:eastAsia="zh-CN"/>
              </w:rPr>
              <w:t>10</w:t>
            </w:r>
          </w:p>
        </w:tc>
        <w:tc>
          <w:tcPr>
            <w:tcW w:w="3092" w:type="dxa"/>
          </w:tcPr>
          <w:p>
            <w:pPr>
              <w:pStyle w:val="88"/>
              <w:rPr>
                <w:lang w:val="en-US" w:eastAsia="zh-CN"/>
              </w:rPr>
            </w:pPr>
            <w:r>
              <w:rPr>
                <w:lang w:val="en-US" w:eastAsia="zh-CN"/>
              </w:rPr>
              <w:t xml:space="preserve">Third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10</w:t>
            </w:r>
          </w:p>
        </w:tc>
        <w:tc>
          <w:tcPr>
            <w:tcW w:w="2304" w:type="dxa"/>
            <w:vAlign w:val="center"/>
          </w:tcPr>
          <w:p>
            <w:pPr>
              <w:pStyle w:val="88"/>
              <w:rPr>
                <w:lang w:val="en-US" w:eastAsia="zh-CN"/>
              </w:rPr>
            </w:pP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44" w:type="dxa"/>
            <w:shd w:val="clear" w:color="auto" w:fill="auto"/>
            <w:vAlign w:val="center"/>
          </w:tcPr>
          <w:p>
            <w:pPr>
              <w:pStyle w:val="88"/>
              <w:rPr>
                <w:lang w:val="fr-FR" w:eastAsia="zh-CN"/>
              </w:rPr>
            </w:pPr>
            <w:r>
              <w:rPr>
                <w:lang w:val="fr-FR" w:eastAsia="zh-CN"/>
              </w:rPr>
              <w:t>11</w:t>
            </w:r>
          </w:p>
        </w:tc>
        <w:tc>
          <w:tcPr>
            <w:tcW w:w="3092" w:type="dxa"/>
          </w:tcPr>
          <w:p>
            <w:pPr>
              <w:pStyle w:val="88"/>
              <w:rPr>
                <w:lang w:val="en-US" w:eastAsia="zh-CN"/>
              </w:rPr>
            </w:pPr>
            <w:r>
              <w:rPr>
                <w:lang w:val="en-US" w:eastAsia="zh-CN"/>
              </w:rPr>
              <w:t xml:space="preserve">Fourth value of </w:t>
            </w:r>
            <w:r>
              <w:rPr>
                <w:i/>
                <w:iCs/>
                <w:strike/>
                <w:color w:val="FF0000"/>
              </w:rPr>
              <w:t>numberOfMsg3Repetitions</w:t>
            </w:r>
            <w:r>
              <w:rPr>
                <w:rFonts w:hint="eastAsia"/>
                <w:i/>
                <w:iCs/>
                <w:strike/>
                <w:color w:val="FF0000"/>
                <w:lang w:val="en-US" w:eastAsia="zh-CN"/>
              </w:rPr>
              <w:t xml:space="preserve"> </w:t>
            </w:r>
            <w:r>
              <w:rPr>
                <w:i/>
                <w:iCs/>
                <w:color w:val="FF0000"/>
                <w:u w:val="single"/>
              </w:rPr>
              <w:t>numberOfMsg3-RepetitionsList</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11</w:t>
            </w:r>
          </w:p>
        </w:tc>
        <w:tc>
          <w:tcPr>
            <w:tcW w:w="2304" w:type="dxa"/>
            <w:vAlign w:val="center"/>
          </w:tcPr>
          <w:p>
            <w:pPr>
              <w:pStyle w:val="88"/>
              <w:rPr>
                <w:lang w:val="en-US" w:eastAsia="zh-CN"/>
              </w:rPr>
            </w:pPr>
            <w:r>
              <w:rPr>
                <w:lang w:val="en-US" w:eastAsia="zh-CN"/>
              </w:rPr>
              <w:t>4</w:t>
            </w:r>
          </w:p>
        </w:tc>
      </w:tr>
      <w:bookmarkEnd w:id="12"/>
      <w:bookmarkEnd w:id="13"/>
      <w:bookmarkEnd w:id="14"/>
      <w:bookmarkEnd w:id="15"/>
      <w:bookmarkEnd w:id="16"/>
      <w:bookmarkEnd w:id="17"/>
    </w:tbl>
    <w:p>
      <w:pPr>
        <w:spacing w:before="120" w:line="280" w:lineRule="atLeast"/>
        <w:rPr>
          <w:b/>
          <w:iCs/>
          <w:color w:val="FF0000"/>
          <w:sz w:val="28"/>
        </w:rPr>
      </w:pPr>
      <w:r>
        <w:rPr>
          <w:b/>
          <w:iCs/>
          <w:color w:val="FF0000"/>
          <w:sz w:val="28"/>
        </w:rPr>
        <w:t>&lt;Unchanged parts are omitted&gt;</w:t>
      </w:r>
    </w:p>
    <w:p>
      <w:pPr>
        <w:spacing w:before="120" w:line="280" w:lineRule="atLeast"/>
        <w:rPr>
          <w:b/>
          <w:iCs/>
          <w:color w:val="FF0000"/>
          <w:sz w:val="28"/>
        </w:rPr>
      </w:pPr>
    </w:p>
    <w:p>
      <w:pPr>
        <w:pStyle w:val="5"/>
        <w:rPr>
          <w:color w:val="000000"/>
        </w:rPr>
      </w:pPr>
      <w:bookmarkStart w:id="18" w:name="_Toc29673213"/>
      <w:bookmarkStart w:id="19" w:name="_Toc36645577"/>
      <w:bookmarkStart w:id="20" w:name="_Toc27299939"/>
      <w:bookmarkStart w:id="21" w:name="_Toc11352151"/>
      <w:bookmarkStart w:id="22" w:name="_Toc20318041"/>
      <w:bookmarkStart w:id="23" w:name="_Toc106695670"/>
      <w:bookmarkStart w:id="24" w:name="_Toc29674347"/>
      <w:bookmarkStart w:id="25" w:name="_Toc45810622"/>
      <w:bookmarkStart w:id="26" w:name="_Toc29673354"/>
      <w:r>
        <w:rPr>
          <w:color w:val="000000"/>
        </w:rPr>
        <w:t>6.1.4.1</w:t>
      </w:r>
      <w:r>
        <w:rPr>
          <w:color w:val="000000"/>
        </w:rPr>
        <w:tab/>
      </w:r>
      <w:r>
        <w:rPr>
          <w:color w:val="000000"/>
        </w:rPr>
        <w:t>Modulation order and target code rate determination</w:t>
      </w:r>
      <w:bookmarkEnd w:id="18"/>
      <w:bookmarkEnd w:id="19"/>
      <w:bookmarkEnd w:id="20"/>
      <w:bookmarkEnd w:id="21"/>
      <w:bookmarkEnd w:id="22"/>
      <w:bookmarkEnd w:id="23"/>
      <w:bookmarkEnd w:id="24"/>
      <w:bookmarkEnd w:id="25"/>
      <w:bookmarkEnd w:id="26"/>
    </w:p>
    <w:p>
      <w:pPr>
        <w:rPr>
          <w:color w:val="000000"/>
        </w:rPr>
      </w:pPr>
      <w:r>
        <w:rPr>
          <w:color w:val="000000"/>
        </w:rPr>
        <w:t xml:space="preserve">For a PUSCH scheduled by RAR UL grant or </w:t>
      </w:r>
    </w:p>
    <w:p>
      <w:pPr>
        <w:rPr>
          <w:color w:val="000000"/>
        </w:rPr>
      </w:pPr>
      <w:r>
        <w:rPr>
          <w:color w:val="000000"/>
        </w:rPr>
        <w:t>for a PUSCH scheduled by a fallbackRAR UL grant or</w:t>
      </w:r>
    </w:p>
    <w:p>
      <w:pPr>
        <w:rPr>
          <w:color w:val="000000"/>
        </w:rPr>
      </w:pPr>
      <w:r>
        <w:rPr>
          <w:color w:val="000000"/>
        </w:rPr>
        <w:t>for a MsgA PUSCH transmission, or</w:t>
      </w:r>
    </w:p>
    <w:p>
      <w:pPr>
        <w:rPr>
          <w:color w:val="000000"/>
        </w:rPr>
      </w:pPr>
      <w:r>
        <w:rPr>
          <w:color w:val="000000"/>
        </w:rPr>
        <w:t xml:space="preserve">for a PUSCH scheduled by a DCI format 0_0 with CRC scrambled by C-RNTI, MCS-C-RNTI, TC-RNTI, CS-RNTI, or </w:t>
      </w:r>
    </w:p>
    <w:p>
      <w:pPr>
        <w:rPr>
          <w:color w:val="000000"/>
        </w:rPr>
      </w:pPr>
      <w:bookmarkStart w:id="27" w:name="_Hlk29479539"/>
      <w:r>
        <w:rPr>
          <w:color w:val="000000"/>
        </w:rPr>
        <w:t xml:space="preserve">for a PUSCH scheduled by a DCI format 0_1 or DCI format 0_2 with CRC scrambled by C-RNTI, MCS-C-RNTI, CS-RNTI, SP-CSI-RNTI, or </w:t>
      </w:r>
    </w:p>
    <w:bookmarkEnd w:id="27"/>
    <w:p>
      <w:pPr>
        <w:rPr>
          <w:color w:val="000000"/>
        </w:rPr>
      </w:pPr>
      <w:r>
        <w:rPr>
          <w:color w:val="000000"/>
        </w:rPr>
        <w:t>for a PUSCH with configured grant using CS-RNTI, and</w:t>
      </w:r>
    </w:p>
    <w:p>
      <w:pPr>
        <w:pStyle w:val="111"/>
      </w:pPr>
      <w:r>
        <w:t>if transform precoding is disabled for this PUSCH transmission</w:t>
      </w:r>
      <w:r>
        <w:rPr>
          <w:lang w:val="en-US"/>
        </w:rPr>
        <w:t xml:space="preserve"> </w:t>
      </w:r>
      <w:r>
        <w:t>according to Clause 6.1.3</w:t>
      </w:r>
    </w:p>
    <w:p>
      <w:pPr>
        <w:pStyle w:val="111"/>
      </w:pPr>
      <w:r>
        <w:t>-</w:t>
      </w:r>
      <w:r>
        <w:tab/>
      </w:r>
      <w:r>
        <w:t xml:space="preserve">if </w:t>
      </w:r>
      <w:r>
        <w:rPr>
          <w:i/>
        </w:rPr>
        <w:t>mcs-TableDCI-0-2</w:t>
      </w:r>
      <w:r>
        <w:rPr>
          <w:color w:val="000000"/>
        </w:rPr>
        <w:t xml:space="preserve"> </w:t>
      </w:r>
      <w:r>
        <w:t>in</w:t>
      </w:r>
      <w:r>
        <w:rPr>
          <w:i/>
        </w:rPr>
        <w:t xml:space="preserve"> pusch-Config </w:t>
      </w:r>
      <w:r>
        <w:rPr>
          <w:lang w:eastAsia="zh-CN"/>
        </w:rPr>
        <w:t>is set to 'qam256'</w:t>
      </w:r>
      <w:r>
        <w:t>, and PUSCH is scheduled by a PDCCH with DCI format 0_2 with CRC scrambled by C-RNTI or SP-CSI-RNTI,</w:t>
      </w:r>
    </w:p>
    <w:p>
      <w:pPr>
        <w:pStyle w:val="112"/>
        <w:rPr>
          <w:lang w:val="en-US"/>
        </w:rPr>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used in the physical uplink shared channel</w:t>
      </w:r>
      <w:r>
        <w:rPr>
          <w:lang w:val="en-US"/>
        </w:rPr>
        <w:t>;</w:t>
      </w:r>
    </w:p>
    <w:p>
      <w:pPr>
        <w:pStyle w:val="111"/>
        <w:rPr>
          <w:lang w:val="en-US"/>
        </w:rPr>
      </w:pPr>
      <w:r>
        <w:t>-</w:t>
      </w:r>
      <w:r>
        <w:tab/>
      </w:r>
      <w:r>
        <w:rPr>
          <w:lang w:val="en-US"/>
        </w:rPr>
        <w:t xml:space="preserve">elseif </w:t>
      </w:r>
      <w:r>
        <w:rPr>
          <w:color w:val="000000"/>
        </w:rPr>
        <w:t xml:space="preserve">the UE is not configured with MCS-C-RNTI, </w:t>
      </w:r>
      <w:r>
        <w:rPr>
          <w:i/>
        </w:rPr>
        <w:t>mcs-TableDCI-0-2</w:t>
      </w:r>
      <w:r>
        <w:rPr>
          <w:color w:val="000000"/>
        </w:rPr>
        <w:t xml:space="preserve">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 xml:space="preserve">SCH is scheduled by a PDCCH </w:t>
      </w:r>
      <w:r>
        <w:t>by a PDCCH with DCI format 0_2 with CRC scrambled by C-RNTI or SP-CSI-RNTI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else</w:t>
      </w:r>
      <w:r>
        <w:t xml:space="preserve">if </w:t>
      </w:r>
      <w:r>
        <w:rPr>
          <w:i/>
        </w:rPr>
        <w:t xml:space="preserve">mcs-Table </w:t>
      </w:r>
      <w:r>
        <w:t>in</w:t>
      </w:r>
      <w:r>
        <w:rPr>
          <w:i/>
        </w:rPr>
        <w:t xml:space="preserve"> pusch-Config </w:t>
      </w:r>
      <w:r>
        <w:rPr>
          <w:lang w:eastAsia="zh-CN"/>
        </w:rPr>
        <w:t>is set to 'qam256'</w:t>
      </w:r>
      <w:r>
        <w:t>, and PUSCH is scheduled by a PDCCH with DCI format 0_1 with CRC scrambled by C-RNTI or SP-CSI-RNTI,</w:t>
      </w:r>
    </w:p>
    <w:p>
      <w:pPr>
        <w:pStyle w:val="112"/>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used in the physical uplink shared channel.</w:t>
      </w:r>
    </w:p>
    <w:p>
      <w:pPr>
        <w:pStyle w:val="111"/>
        <w:rPr>
          <w:lang w:val="en-US"/>
        </w:rPr>
      </w:pPr>
      <w:r>
        <w:t>-</w:t>
      </w:r>
      <w:r>
        <w:tab/>
      </w:r>
      <w:r>
        <w:rPr>
          <w:lang w:val="en-US"/>
        </w:rPr>
        <w:t xml:space="preserve">elseif </w:t>
      </w:r>
      <w:r>
        <w:rPr>
          <w:color w:val="000000"/>
        </w:rPr>
        <w:t xml:space="preserve">the UE is not configured with </w:t>
      </w:r>
      <w:bookmarkStart w:id="28" w:name="_Hlk523070388"/>
      <w:r>
        <w:rPr>
          <w:color w:val="000000"/>
        </w:rPr>
        <w:t>MCS-C-RNTI</w:t>
      </w:r>
      <w:bookmarkEnd w:id="28"/>
      <w:r>
        <w:rPr>
          <w:color w:val="000000"/>
        </w:rPr>
        <w:t xml:space="preserve">, </w:t>
      </w:r>
      <w:r>
        <w:rPr>
          <w:i/>
          <w:color w:val="000000"/>
        </w:rPr>
        <w:t>mcs-Table</w:t>
      </w:r>
      <w:r>
        <w:rPr>
          <w:color w:val="000000"/>
        </w:rPr>
        <w:t xml:space="preserve">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 xml:space="preserve">SCH is scheduled by a PDCCH with a DCI format other than DCI format 0_2 in a UE-specific search space </w:t>
      </w:r>
      <w:r>
        <w:t>with CRC scrambled by C-RNTI or SP-CSI-RNTI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rPr>
          <w:lang w:val="en-US"/>
        </w:rPr>
      </w:pPr>
      <w:r>
        <w:t>-</w:t>
      </w:r>
      <w:r>
        <w:tab/>
      </w:r>
      <w:r>
        <w:rPr>
          <w:lang w:val="en-US"/>
        </w:rPr>
        <w:t xml:space="preserve">elseif </w:t>
      </w:r>
      <w:r>
        <w:rPr>
          <w:color w:val="000000"/>
        </w:rPr>
        <w:t>the UE is configured with MCS-C-RNTI</w:t>
      </w:r>
      <w:r>
        <w:rPr>
          <w:color w:val="000000"/>
          <w:lang w:val="en-US"/>
        </w:rPr>
        <w:t xml:space="preserve">, and the PUSCH is scheduled by a PDCCH with CRC scrambled by </w:t>
      </w:r>
      <w:r>
        <w:rPr>
          <w:color w:val="000000"/>
        </w:rPr>
        <w:t>MCS-C-RNTI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rPr>
        <w:t>mcs-Table</w:t>
      </w:r>
      <w:r>
        <w:t xml:space="preserve"> in </w:t>
      </w:r>
      <w:r>
        <w:rPr>
          <w:i/>
        </w:rPr>
        <w:t>configuredGrantConfig</w:t>
      </w:r>
      <w:r>
        <w:t xml:space="preserve"> is set to 'qam256', </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rPr>
        <w:t>mcs-Table</w:t>
      </w:r>
      <w:r>
        <w:t xml:space="preserve"> in </w:t>
      </w:r>
      <w:r>
        <w:rPr>
          <w:i/>
        </w:rPr>
        <w:t>configuredGrantConfig</w:t>
      </w:r>
      <w:r>
        <w:t xml:space="preserve"> is set to '</w:t>
      </w:r>
      <w:r>
        <w:rPr>
          <w:color w:val="000000"/>
          <w:lang w:eastAsia="zh-CN"/>
        </w:rPr>
        <w:t>qam64LowSE</w:t>
      </w:r>
      <w:r>
        <w:t xml:space="preserve">', </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 </w:t>
      </w:r>
    </w:p>
    <w:p>
      <w:pPr>
        <w:pStyle w:val="111"/>
        <w:rPr>
          <w:lang w:val="en-US"/>
        </w:rPr>
      </w:pPr>
      <w:r>
        <w:t>-</w:t>
      </w:r>
      <w:r>
        <w:tab/>
      </w:r>
      <w:r>
        <w:rPr>
          <w:lang w:val="en-US"/>
        </w:rPr>
        <w:t xml:space="preserve">elseif for a MsgA PUSCH transmission, </w:t>
      </w:r>
    </w:p>
    <w:p>
      <w:pPr>
        <w:pStyle w:val="112"/>
      </w:pPr>
      <w:r>
        <w:t>-</w:t>
      </w:r>
      <w:r>
        <w:tab/>
      </w:r>
      <w:r>
        <w:rPr>
          <w:lang w:val="en-US"/>
        </w:rPr>
        <w:t xml:space="preserve">the UE shall use higher layer parameter </w:t>
      </w:r>
      <w:r>
        <w:rPr>
          <w:i/>
          <w:lang w:val="en-US"/>
        </w:rPr>
        <w:t xml:space="preserve">msgA-MCS </w:t>
      </w:r>
      <w:r>
        <w:rPr>
          <w:lang w:val="en-US"/>
        </w:rPr>
        <w:t xml:space="preserve">for </w:t>
      </w:r>
      <w:r>
        <w:rPr>
          <w:i/>
        </w:rPr>
        <w:t>I</w:t>
      </w:r>
      <w:r>
        <w:rPr>
          <w:i/>
          <w:vertAlign w:val="subscript"/>
        </w:rPr>
        <w:t>MCS</w:t>
      </w:r>
      <w:r>
        <w:t xml:space="preserve"> </w:t>
      </w:r>
      <w:r>
        <w:rPr>
          <w:lang w:val="en-US"/>
        </w:rPr>
        <w:t xml:space="preserve">and </w:t>
      </w:r>
      <w:r>
        <w:t>Table 5.1.3.1-1 to determine the Target code rate (</w:t>
      </w:r>
      <w:r>
        <w:rPr>
          <w:i/>
        </w:rPr>
        <w:t>R</w:t>
      </w:r>
      <w:r>
        <w:t xml:space="preserve">) used in the physical </w:t>
      </w:r>
      <w:r>
        <w:rPr>
          <w:lang w:val="en-US"/>
        </w:rPr>
        <w:t>uplink</w:t>
      </w:r>
      <w:r>
        <w:t xml:space="preserve"> shared channel.</w:t>
      </w:r>
    </w:p>
    <w:p>
      <w:pPr>
        <w:pStyle w:val="111"/>
        <w:rPr>
          <w:rFonts w:eastAsia="Batang"/>
        </w:rPr>
      </w:pPr>
      <w:r>
        <w:t>-</w:t>
      </w:r>
      <w:r>
        <w:tab/>
      </w:r>
      <w:r>
        <w:t>elseif the UE requests repetition of PUSCH scheduled by RAR UL grant [10, TS 38.321], when transmitting PUSCH scheduled by RAR UL grant</w:t>
      </w:r>
      <w:r>
        <w:rPr>
          <w:rFonts w:eastAsia="Batang"/>
        </w:rPr>
        <w:t>,</w:t>
      </w:r>
    </w:p>
    <w:p>
      <w:pPr>
        <w:pStyle w:val="112"/>
      </w:pPr>
      <w:r>
        <w:t>-</w:t>
      </w:r>
      <w:r>
        <w:tab/>
      </w:r>
      <w:r>
        <w:t xml:space="preserve">the 2 LSBs of the MCS information field of the RAR UL grant provide a codepoint to determine the MCS index </w:t>
      </w:r>
      <w:r>
        <w:rPr>
          <w:i/>
          <w:color w:val="000000"/>
        </w:rPr>
        <w:t>I</w:t>
      </w:r>
      <w:r>
        <w:rPr>
          <w:i/>
          <w:color w:val="000000"/>
          <w:vertAlign w:val="subscript"/>
        </w:rPr>
        <w:t>MCS</w:t>
      </w:r>
      <w:r>
        <w:rPr>
          <w:i/>
          <w:iCs/>
        </w:rPr>
        <w:t xml:space="preserve"> </w:t>
      </w:r>
      <w:r>
        <w:t xml:space="preserve">according to Table </w:t>
      </w:r>
      <w:r>
        <w:rPr>
          <w:color w:val="000000"/>
        </w:rPr>
        <w:t>6.1.4.1-3</w:t>
      </w:r>
      <w:r>
        <w:t xml:space="preserve">, based on whether or not the higher layer parameter </w:t>
      </w:r>
      <w:r>
        <w:rPr>
          <w:i/>
          <w:iCs/>
          <w:strike/>
          <w:color w:val="FF0000"/>
        </w:rPr>
        <w:t>mcs-Msg3Repetition</w:t>
      </w:r>
      <w:r>
        <w:rPr>
          <w:i/>
          <w:iCs/>
          <w:color w:val="FF0000"/>
          <w:u w:val="single"/>
        </w:rPr>
        <w:t>mcs-Msg3-Repetitions</w:t>
      </w:r>
      <w:r>
        <w:rPr>
          <w:i/>
          <w:iCs/>
        </w:rPr>
        <w:t xml:space="preserve"> </w:t>
      </w:r>
      <w:r>
        <w:t xml:space="preserve">is configured. The UE shall use the determined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pPr>
        <w:pStyle w:val="111"/>
      </w:pPr>
      <w:r>
        <w:t>-</w:t>
      </w:r>
      <w:r>
        <w:tab/>
      </w:r>
      <w:r>
        <w:t>elseif the UE requests repetition of PUSCH scheduled by RAR UL grant [10, TS 38.321], when transmitting PUSCH scheduled by DCI format 0_0 with CRC scrambled by the TC-RNTI,</w:t>
      </w:r>
    </w:p>
    <w:p>
      <w:pPr>
        <w:pStyle w:val="112"/>
      </w:pPr>
      <w:r>
        <w:t>-</w:t>
      </w:r>
      <w:r>
        <w:tab/>
      </w:r>
      <w:r>
        <w:t xml:space="preserve">the 3 LSBs of the MCS information field of the DCI format 0_0 with CRC scrambled by the TC-RNTI provide a codepoint to determine the MCS index </w:t>
      </w:r>
      <w:r>
        <w:rPr>
          <w:i/>
        </w:rPr>
        <w:t>I</w:t>
      </w:r>
      <w:r>
        <w:rPr>
          <w:i/>
          <w:vertAlign w:val="subscript"/>
        </w:rPr>
        <w:t>MCS</w:t>
      </w:r>
      <w:r>
        <w:t xml:space="preserve"> according to Table 6.1.4.1-4, based on whether or not the higher layer parameter </w:t>
      </w:r>
      <w:r>
        <w:rPr>
          <w:i/>
          <w:iCs/>
          <w:strike/>
          <w:color w:val="FF0000"/>
        </w:rPr>
        <w:t>mcs-Msg3Repetition</w:t>
      </w:r>
      <w:r>
        <w:rPr>
          <w:i/>
          <w:iCs/>
          <w:color w:val="FF0000"/>
          <w:u w:val="single"/>
        </w:rPr>
        <w:t>mcs-Msg3-Repetitions</w:t>
      </w:r>
      <w:r>
        <w:t xml:space="preserve"> is configured. The UE shall use the determined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pPr>
        <w:pStyle w:val="111"/>
      </w:pPr>
      <w:r>
        <w:t>-</w:t>
      </w:r>
      <w:r>
        <w:tab/>
      </w:r>
      <w:r>
        <w:t>else</w:t>
      </w:r>
    </w:p>
    <w:p>
      <w:pPr>
        <w:pStyle w:val="112"/>
      </w:pPr>
      <w:r>
        <w:t>-</w:t>
      </w:r>
      <w:r>
        <w:tab/>
      </w:r>
      <w:r>
        <w:t xml:space="preserve">the UE shall use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pPr>
        <w:pStyle w:val="111"/>
      </w:pPr>
      <w:r>
        <w:t>else</w:t>
      </w:r>
    </w:p>
    <w:p>
      <w:pPr>
        <w:pStyle w:val="111"/>
      </w:pPr>
      <w:r>
        <w:t>-</w:t>
      </w:r>
      <w:r>
        <w:tab/>
      </w:r>
      <w:r>
        <w:t xml:space="preserve">if </w:t>
      </w:r>
      <w:r>
        <w:rPr>
          <w:i/>
        </w:rPr>
        <w:t xml:space="preserve">mcs-TableTransformPrecoderDCI-0-2 </w:t>
      </w:r>
      <w:r>
        <w:t xml:space="preserve">in </w:t>
      </w:r>
      <w:r>
        <w:rPr>
          <w:i/>
        </w:rPr>
        <w:t>pusch-Config</w:t>
      </w:r>
      <w:r>
        <w:rPr>
          <w:i/>
          <w:lang w:val="en-US"/>
        </w:rPr>
        <w:t xml:space="preserve"> </w:t>
      </w:r>
      <w:r>
        <w:rPr>
          <w:lang w:eastAsia="zh-CN"/>
        </w:rPr>
        <w:t>is set to 'qam256'</w:t>
      </w:r>
      <w:r>
        <w:t>, and PUSCH is scheduled by a PDCCH with DCI format 0_2 with CRC scrambled by C-RNTI or SP-CSI-RNTI,</w:t>
      </w:r>
    </w:p>
    <w:p>
      <w:pPr>
        <w:pStyle w:val="112"/>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uplink shared channel. </w:t>
      </w:r>
    </w:p>
    <w:p>
      <w:pPr>
        <w:pStyle w:val="111"/>
        <w:rPr>
          <w:lang w:val="en-US"/>
        </w:rPr>
      </w:pPr>
      <w:r>
        <w:t>-</w:t>
      </w:r>
      <w:r>
        <w:tab/>
      </w:r>
      <w:r>
        <w:rPr>
          <w:lang w:val="en-US"/>
        </w:rPr>
        <w:t xml:space="preserve">elseif </w:t>
      </w:r>
      <w:r>
        <w:rPr>
          <w:color w:val="000000"/>
        </w:rPr>
        <w:t xml:space="preserve">the UE is not configured with MCS-C-RNTI, </w:t>
      </w:r>
      <w:r>
        <w:rPr>
          <w:i/>
          <w:color w:val="000000"/>
        </w:rPr>
        <w:t xml:space="preserve">mcs-TableTransformPrecoderDCI-0-2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 xml:space="preserve">SCH is scheduled by a PDCCH </w:t>
      </w:r>
      <w:r>
        <w:t xml:space="preserve">with DCI format 0_2 </w:t>
      </w:r>
      <w:r>
        <w:rPr>
          <w:color w:val="000000"/>
        </w:rPr>
        <w:t>with CRC scrambled by C-RNTI or SP-CSI-RNTI</w:t>
      </w:r>
      <w:r>
        <w:rPr>
          <w:color w:val="000000"/>
          <w:lang w:val="en-US"/>
        </w:rPr>
        <w:t>,</w:t>
      </w:r>
    </w:p>
    <w:p>
      <w:pPr>
        <w:pStyle w:val="112"/>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t xml:space="preserve">elseif </w:t>
      </w:r>
      <w:r>
        <w:rPr>
          <w:i/>
        </w:rPr>
        <w:t xml:space="preserve">mcs-TableTransformPrecoder </w:t>
      </w:r>
      <w:r>
        <w:t xml:space="preserve">in </w:t>
      </w:r>
      <w:r>
        <w:rPr>
          <w:i/>
        </w:rPr>
        <w:t>pusch-Config</w:t>
      </w:r>
      <w:r>
        <w:rPr>
          <w:i/>
          <w:lang w:val="en-US"/>
        </w:rPr>
        <w:t xml:space="preserve"> </w:t>
      </w:r>
      <w:r>
        <w:rPr>
          <w:lang w:eastAsia="zh-CN"/>
        </w:rPr>
        <w:t>is set to 'qam256'</w:t>
      </w:r>
      <w:r>
        <w:t>, and PUSCH is scheduled by a PDCCH with DCI format 0_1 with CRC scrambled by C-RNTI or SP-CSI-RNTI,</w:t>
      </w:r>
    </w:p>
    <w:p>
      <w:pPr>
        <w:pStyle w:val="112"/>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uplink shared channel. </w:t>
      </w:r>
    </w:p>
    <w:p>
      <w:pPr>
        <w:pStyle w:val="111"/>
        <w:rPr>
          <w:lang w:val="en-US"/>
        </w:rPr>
      </w:pPr>
      <w:r>
        <w:t>-</w:t>
      </w:r>
      <w:r>
        <w:tab/>
      </w:r>
      <w:r>
        <w:rPr>
          <w:lang w:val="en-US"/>
        </w:rPr>
        <w:t xml:space="preserve">elseif </w:t>
      </w:r>
      <w:r>
        <w:rPr>
          <w:color w:val="000000"/>
        </w:rPr>
        <w:t xml:space="preserve">the UE is not configured with MCS-C-RNTI, </w:t>
      </w:r>
      <w:r>
        <w:rPr>
          <w:i/>
          <w:color w:val="000000"/>
        </w:rPr>
        <w:t xml:space="preserve">mcs-TableTransformPrecoder </w:t>
      </w:r>
      <w:r>
        <w:rPr>
          <w:color w:val="000000"/>
          <w:lang w:val="en-US"/>
        </w:rPr>
        <w:t>in</w:t>
      </w:r>
      <w:r>
        <w:rPr>
          <w:color w:val="000000"/>
        </w:rPr>
        <w:t xml:space="preserve"> </w:t>
      </w:r>
      <w:r>
        <w:rPr>
          <w:i/>
          <w:color w:val="000000"/>
        </w:rPr>
        <w:t>pusch-Config</w:t>
      </w:r>
      <w:r>
        <w:rPr>
          <w:color w:val="000000"/>
        </w:rPr>
        <w:t xml:space="preserve"> </w:t>
      </w:r>
      <w:r>
        <w:rPr>
          <w:color w:val="000000"/>
          <w:lang w:eastAsia="zh-CN"/>
        </w:rPr>
        <w:t>is set to 'qam64LowSE'</w:t>
      </w:r>
      <w:r>
        <w:rPr>
          <w:color w:val="000000"/>
        </w:rPr>
        <w:t>, and the P</w:t>
      </w:r>
      <w:r>
        <w:rPr>
          <w:color w:val="000000"/>
          <w:lang w:val="en-US"/>
        </w:rPr>
        <w:t>U</w:t>
      </w:r>
      <w:r>
        <w:rPr>
          <w:color w:val="000000"/>
        </w:rPr>
        <w:t>SCH is scheduled by a PDCCH with a DCI format other than DCI format 0_2 in a UE-specific search space with CRC scrambled by C-RNTI or SP-CSI-RNTI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rPr>
          <w:lang w:val="en-US"/>
        </w:rPr>
      </w:pPr>
      <w:r>
        <w:t>-</w:t>
      </w:r>
      <w:r>
        <w:tab/>
      </w:r>
      <w:r>
        <w:rPr>
          <w:lang w:val="en-US"/>
        </w:rPr>
        <w:t xml:space="preserve">elseif </w:t>
      </w:r>
      <w:r>
        <w:rPr>
          <w:color w:val="000000"/>
        </w:rPr>
        <w:t>the UE is configured with MCS-C-RNTI</w:t>
      </w:r>
      <w:r>
        <w:rPr>
          <w:color w:val="000000"/>
          <w:lang w:val="en-US"/>
        </w:rPr>
        <w:t xml:space="preserve">, and the PUSCH is scheduled by a PDCCH with CRC scrambled by </w:t>
      </w:r>
      <w:r>
        <w:rPr>
          <w:color w:val="000000"/>
        </w:rPr>
        <w:t>MCS-C-RNTI</w:t>
      </w:r>
      <w:r>
        <w:rPr>
          <w:color w:val="000000"/>
          <w:lang w:val="en-US"/>
        </w:rPr>
        <w:t>,</w:t>
      </w:r>
    </w:p>
    <w:p>
      <w:pPr>
        <w:pStyle w:val="111"/>
        <w:ind w:left="851"/>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 xml:space="preserve">2 </w:t>
      </w:r>
      <w:r>
        <w:t>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rPr>
        <w:t xml:space="preserve">mcs-TableTransformPrecoder </w:t>
      </w:r>
      <w:r>
        <w:t xml:space="preserve">in </w:t>
      </w:r>
      <w:r>
        <w:rPr>
          <w:i/>
        </w:rPr>
        <w:t>configuredGrantConfig</w:t>
      </w:r>
      <w:r>
        <w:t xml:space="preserve"> is set to 'qam256', </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pPr>
        <w:pStyle w:val="111"/>
      </w:pPr>
      <w:r>
        <w:t>-</w:t>
      </w:r>
      <w:r>
        <w:tab/>
      </w:r>
      <w:r>
        <w:rPr>
          <w:lang w:val="en-US"/>
        </w:rPr>
        <w:t xml:space="preserve">elseif </w:t>
      </w:r>
      <w:r>
        <w:rPr>
          <w:i/>
          <w:color w:val="000000"/>
        </w:rPr>
        <w:t xml:space="preserve">mcs-TableTransformPrecoder </w:t>
      </w:r>
      <w:r>
        <w:t xml:space="preserve">in </w:t>
      </w:r>
      <w:r>
        <w:rPr>
          <w:i/>
        </w:rPr>
        <w:t>configuredGrantConfig</w:t>
      </w:r>
      <w:r>
        <w:t xml:space="preserve"> is set to '</w:t>
      </w:r>
      <w:r>
        <w:rPr>
          <w:color w:val="000000"/>
          <w:lang w:eastAsia="zh-CN"/>
        </w:rPr>
        <w:t>qam64LowSE</w:t>
      </w:r>
      <w:r>
        <w:t>',</w:t>
      </w:r>
    </w:p>
    <w:p>
      <w:pPr>
        <w:pStyle w:val="112"/>
      </w:pPr>
      <w:r>
        <w:t>-</w:t>
      </w:r>
      <w:r>
        <w:tab/>
      </w:r>
      <w:r>
        <w:t>if PUSCH is scheduled by a PDCCH with CRC scrambled by CS-RNTI or</w:t>
      </w:r>
    </w:p>
    <w:p>
      <w:pPr>
        <w:pStyle w:val="112"/>
      </w:pPr>
      <w:r>
        <w:t>-</w:t>
      </w:r>
      <w:r>
        <w:tab/>
      </w:r>
      <w:r>
        <w:t>if PUSCH is transmitted with configured grant,</w:t>
      </w:r>
    </w:p>
    <w:p>
      <w:pPr>
        <w:pStyle w:val="113"/>
      </w:pPr>
      <w:r>
        <w:t>-</w:t>
      </w:r>
      <w:r>
        <w:tab/>
      </w:r>
      <w:r>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 </w:t>
      </w:r>
    </w:p>
    <w:p>
      <w:pPr>
        <w:pStyle w:val="111"/>
      </w:pPr>
      <w:r>
        <w:t>-</w:t>
      </w:r>
      <w:r>
        <w:tab/>
      </w:r>
      <w:r>
        <w:rPr>
          <w:lang w:val="en-US"/>
        </w:rPr>
        <w:t>elseif for a MsgA PUSCH transmission,</w:t>
      </w:r>
    </w:p>
    <w:p>
      <w:pPr>
        <w:pStyle w:val="112"/>
      </w:pPr>
      <w:r>
        <w:t>-</w:t>
      </w:r>
      <w:r>
        <w:tab/>
      </w:r>
      <w:r>
        <w:rPr>
          <w:lang w:val="en-US"/>
        </w:rPr>
        <w:t xml:space="preserve">the UE shall use higher layer parameter </w:t>
      </w:r>
      <w:r>
        <w:rPr>
          <w:i/>
          <w:lang w:val="en-US"/>
        </w:rPr>
        <w:t xml:space="preserve">MsgA-MCS </w:t>
      </w:r>
      <w:r>
        <w:rPr>
          <w:lang w:val="en-US"/>
        </w:rPr>
        <w:t xml:space="preserve">for </w:t>
      </w:r>
      <w:r>
        <w:rPr>
          <w:i/>
        </w:rPr>
        <w:t>I</w:t>
      </w:r>
      <w:r>
        <w:rPr>
          <w:i/>
          <w:vertAlign w:val="subscript"/>
        </w:rPr>
        <w:t>MCS</w:t>
      </w:r>
      <w:r>
        <w:t xml:space="preserve"> </w:t>
      </w:r>
      <w:r>
        <w:rPr>
          <w:lang w:val="en-US"/>
        </w:rPr>
        <w:t xml:space="preserve">and </w:t>
      </w:r>
      <w:r>
        <w:t>Table 6.1.4.1-1 to determine the Target code rate (</w:t>
      </w:r>
      <w:r>
        <w:rPr>
          <w:i/>
        </w:rPr>
        <w:t>R</w:t>
      </w:r>
      <w:r>
        <w:t xml:space="preserve">) used in the physical </w:t>
      </w:r>
      <w:r>
        <w:rPr>
          <w:lang w:val="en-US"/>
        </w:rPr>
        <w:t>uplink</w:t>
      </w:r>
      <w:r>
        <w:t xml:space="preserve"> shared channel.</w:t>
      </w:r>
    </w:p>
    <w:p>
      <w:pPr>
        <w:pStyle w:val="112"/>
      </w:pPr>
      <w:r>
        <w:t>-</w:t>
      </w:r>
      <w:r>
        <w:tab/>
      </w:r>
      <w:r>
        <w:rPr>
          <w:lang w:val="en-US"/>
        </w:rPr>
        <w:t xml:space="preserve">the UE shall use </w:t>
      </w:r>
      <w:r>
        <w:rPr>
          <w:i/>
          <w:color w:val="000000"/>
        </w:rPr>
        <w:t xml:space="preserve">q=2 </w:t>
      </w:r>
      <w:r>
        <w:rPr>
          <w:lang w:val="en-US"/>
        </w:rPr>
        <w:t xml:space="preserve">for determining modulation order </w:t>
      </w:r>
      <w:r>
        <w:rPr>
          <w:i/>
          <w:lang w:val="en-US"/>
        </w:rPr>
        <w:t>Q</w:t>
      </w:r>
      <w:r>
        <w:rPr>
          <w:i/>
          <w:vertAlign w:val="subscript"/>
          <w:lang w:val="en-US"/>
        </w:rPr>
        <w:t>m</w:t>
      </w:r>
      <w:r>
        <w:rPr>
          <w:lang w:val="en-US"/>
        </w:rPr>
        <w:t xml:space="preserve"> in </w:t>
      </w:r>
      <w:r>
        <w:t>Table 6.1.4.1-1.</w:t>
      </w:r>
    </w:p>
    <w:p>
      <w:pPr>
        <w:pStyle w:val="111"/>
        <w:rPr>
          <w:rFonts w:eastAsia="Batang"/>
        </w:rPr>
      </w:pPr>
      <w:r>
        <w:t>-</w:t>
      </w:r>
      <w:r>
        <w:tab/>
      </w:r>
      <w:r>
        <w:t>elseif the UE requests repetition of PUSCH scheduled by RAR UL grant [10, TS 38.321], when transmitting PUSCH scheduled by RAR UL grant</w:t>
      </w:r>
      <w:r>
        <w:rPr>
          <w:rFonts w:eastAsia="Batang"/>
        </w:rPr>
        <w:t>,</w:t>
      </w:r>
    </w:p>
    <w:p>
      <w:pPr>
        <w:pStyle w:val="112"/>
      </w:pPr>
      <w:r>
        <w:t>-</w:t>
      </w:r>
      <w:r>
        <w:tab/>
      </w:r>
      <w:r>
        <w:t xml:space="preserve">the 2 LSBs of the MCS information field of the RAR UL grant provide a codepoint to determine the MCS index </w:t>
      </w:r>
      <w:r>
        <w:rPr>
          <w:i/>
          <w:color w:val="000000"/>
        </w:rPr>
        <w:t>I</w:t>
      </w:r>
      <w:r>
        <w:rPr>
          <w:i/>
          <w:color w:val="000000"/>
          <w:vertAlign w:val="subscript"/>
        </w:rPr>
        <w:t>MCS</w:t>
      </w:r>
      <w:r>
        <w:rPr>
          <w:i/>
          <w:iCs/>
        </w:rPr>
        <w:t xml:space="preserve"> </w:t>
      </w:r>
      <w:r>
        <w:t xml:space="preserve">according to Table </w:t>
      </w:r>
      <w:r>
        <w:rPr>
          <w:color w:val="000000"/>
        </w:rPr>
        <w:t>6.1.4.1-3</w:t>
      </w:r>
      <w:r>
        <w:t xml:space="preserve">, based on whether or not the higher layer parameter </w:t>
      </w:r>
      <w:r>
        <w:rPr>
          <w:i/>
          <w:iCs/>
          <w:strike/>
          <w:color w:val="FF0000"/>
        </w:rPr>
        <w:t>mcs-Msg3Repetition</w:t>
      </w:r>
      <w:r>
        <w:rPr>
          <w:i/>
          <w:iCs/>
          <w:color w:val="FF0000"/>
          <w:u w:val="single"/>
        </w:rPr>
        <w:t>mcs-Msg3-Repetitions</w:t>
      </w:r>
      <w:r>
        <w:rPr>
          <w:i/>
          <w:iCs/>
        </w:rPr>
        <w:t xml:space="preserve"> </w:t>
      </w:r>
      <w:r>
        <w:t xml:space="preserve">is configured. The UE shall use the determined </w:t>
      </w:r>
      <w:r>
        <w:rPr>
          <w:i/>
        </w:rPr>
        <w:t>I</w:t>
      </w:r>
      <w:r>
        <w:rPr>
          <w:i/>
          <w:vertAlign w:val="subscript"/>
        </w:rPr>
        <w:t>MCS</w:t>
      </w:r>
      <w:r>
        <w:t xml:space="preserve"> and Table 6.1.4.1-1 to determine the modulation order (</w:t>
      </w:r>
      <w:r>
        <w:rPr>
          <w:i/>
        </w:rPr>
        <w:t>Q</w:t>
      </w:r>
      <w:r>
        <w:rPr>
          <w:i/>
          <w:vertAlign w:val="subscript"/>
        </w:rPr>
        <w:t>m</w:t>
      </w:r>
      <w:r>
        <w:t>) and Target code rate (</w:t>
      </w:r>
      <w:r>
        <w:rPr>
          <w:i/>
        </w:rPr>
        <w:t>R</w:t>
      </w:r>
      <w:r>
        <w:t>) used in the physical uplink shared channel.</w:t>
      </w:r>
    </w:p>
    <w:p>
      <w:pPr>
        <w:pStyle w:val="111"/>
      </w:pPr>
      <w:r>
        <w:t>-</w:t>
      </w:r>
      <w:r>
        <w:tab/>
      </w:r>
      <w:r>
        <w:t>elseif the UE requests repetition of PUSCH scheduled by RAR UL grant [10, TS 38.321], when transmitting PUSCH scheduled by DCI format 0_0 with CRC scrambled by the TC-RNTI,</w:t>
      </w:r>
    </w:p>
    <w:p>
      <w:pPr>
        <w:pStyle w:val="112"/>
      </w:pPr>
      <w:r>
        <w:t>-</w:t>
      </w:r>
      <w:r>
        <w:tab/>
      </w:r>
      <w:r>
        <w:t xml:space="preserve">the 3 LSBs of the MCS information field of the DCI format 0_0 with CRC scrambled by the TC-RNTI provide a codepoint to determine the MCS index </w:t>
      </w:r>
      <w:r>
        <w:rPr>
          <w:i/>
        </w:rPr>
        <w:t>I</w:t>
      </w:r>
      <w:r>
        <w:rPr>
          <w:i/>
          <w:vertAlign w:val="subscript"/>
        </w:rPr>
        <w:t>MCS</w:t>
      </w:r>
      <w:r>
        <w:t xml:space="preserve"> according to Table 6.1.4.1-4, based on whether or not the higher layer parameter </w:t>
      </w:r>
      <w:bookmarkStart w:id="29" w:name="OLE_LINK2"/>
      <w:r>
        <w:rPr>
          <w:i/>
          <w:iCs/>
          <w:strike/>
          <w:color w:val="FF0000"/>
        </w:rPr>
        <w:t>mcs-Msg3Repetition</w:t>
      </w:r>
      <w:r>
        <w:rPr>
          <w:i/>
          <w:iCs/>
          <w:color w:val="FF0000"/>
          <w:u w:val="single"/>
        </w:rPr>
        <w:t>mcs-Msg3-Repetitions</w:t>
      </w:r>
      <w:bookmarkEnd w:id="29"/>
      <w:r>
        <w:t xml:space="preserve"> is configured. The UE shall use the determined </w:t>
      </w:r>
      <w:r>
        <w:rPr>
          <w:i/>
        </w:rPr>
        <w:t>I</w:t>
      </w:r>
      <w:r>
        <w:rPr>
          <w:i/>
          <w:vertAlign w:val="subscript"/>
        </w:rPr>
        <w:t>MCS</w:t>
      </w:r>
      <w:r>
        <w:t xml:space="preserve"> and Table 6.1.4.1-1 to determine the modulation order (</w:t>
      </w:r>
      <w:r>
        <w:rPr>
          <w:i/>
        </w:rPr>
        <w:t>Q</w:t>
      </w:r>
      <w:r>
        <w:rPr>
          <w:i/>
          <w:vertAlign w:val="subscript"/>
        </w:rPr>
        <w:t>m</w:t>
      </w:r>
      <w:r>
        <w:t>) and Target code rate (</w:t>
      </w:r>
      <w:r>
        <w:rPr>
          <w:i/>
        </w:rPr>
        <w:t>R</w:t>
      </w:r>
      <w:r>
        <w:t>) used in the physical uplink shared channel.</w:t>
      </w:r>
    </w:p>
    <w:p>
      <w:pPr>
        <w:pStyle w:val="111"/>
        <w:ind w:left="567"/>
      </w:pPr>
      <w:r>
        <w:t>-</w:t>
      </w:r>
      <w:r>
        <w:tab/>
      </w:r>
      <w:r>
        <w:t>else</w:t>
      </w:r>
    </w:p>
    <w:p>
      <w:pPr>
        <w:pStyle w:val="112"/>
        <w:rPr>
          <w:color w:val="000000"/>
        </w:rPr>
      </w:pPr>
      <w:r>
        <w:t>-</w:t>
      </w:r>
      <w:r>
        <w:tab/>
      </w:r>
      <w:r>
        <w:t xml:space="preserve">the UE shall use </w:t>
      </w:r>
      <w:r>
        <w:rPr>
          <w:i/>
        </w:rPr>
        <w:t>I</w:t>
      </w:r>
      <w:r>
        <w:rPr>
          <w:i/>
          <w:vertAlign w:val="subscript"/>
        </w:rPr>
        <w:t>MCS</w:t>
      </w:r>
      <w:r>
        <w:t xml:space="preserve"> and Table 6.1.4.1-1to determine the modulation order (</w:t>
      </w:r>
      <w:r>
        <w:rPr>
          <w:i/>
        </w:rPr>
        <w:t>Q</w:t>
      </w:r>
      <w:r>
        <w:rPr>
          <w:i/>
          <w:vertAlign w:val="subscript"/>
        </w:rPr>
        <w:t>m</w:t>
      </w:r>
      <w:r>
        <w:t>) and Target code rate (</w:t>
      </w:r>
      <w:r>
        <w:rPr>
          <w:i/>
        </w:rPr>
        <w:t>R</w:t>
      </w:r>
      <w:r>
        <w:t>) used in the physical uplink shared channel.</w:t>
      </w:r>
    </w:p>
    <w:p>
      <w:pPr>
        <w:rPr>
          <w:color w:val="000000"/>
        </w:rPr>
      </w:pPr>
      <w:r>
        <w:rPr>
          <w:color w:val="000000"/>
        </w:rPr>
        <w:t>end</w:t>
      </w:r>
    </w:p>
    <w:p>
      <w:r>
        <w:rPr>
          <w:color w:val="000000"/>
        </w:rPr>
        <w:t>For Table 6.1.4.1-1 and Table 6.1.4.1-2</w:t>
      </w:r>
      <w:r>
        <w:t xml:space="preserve">, if higher layer parameter </w:t>
      </w:r>
      <w:r>
        <w:rPr>
          <w:i/>
        </w:rPr>
        <w:t>tp-pi2BPSK</w:t>
      </w:r>
      <w:r>
        <w:t xml:space="preserve"> is configured, </w:t>
      </w:r>
      <w:r>
        <w:rPr>
          <w:i/>
        </w:rPr>
        <w:t xml:space="preserve">q </w:t>
      </w:r>
      <w:r>
        <w:t xml:space="preserve">= 1 otherwise </w:t>
      </w:r>
      <w:r>
        <w:rPr>
          <w:i/>
        </w:rPr>
        <w:t>q</w:t>
      </w:r>
      <w:r>
        <w:t>=2.</w:t>
      </w:r>
    </w:p>
    <w:p>
      <w:pPr>
        <w:pStyle w:val="91"/>
      </w:pPr>
      <w:r>
        <w:t>Table 6.1.4.1-1: MCS index table for PUSCH with transform precoding and 64QAM</w:t>
      </w:r>
    </w:p>
    <w:tbl>
      <w:tblPr>
        <w:tblStyle w:val="61"/>
        <w:tblW w:w="0" w:type="auto"/>
        <w:tblInd w:w="13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716"/>
        <w:gridCol w:w="2457"/>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87"/>
              <w:rPr>
                <w:bCs/>
                <w:color w:val="000000"/>
                <w:lang w:val="en-US"/>
              </w:rPr>
            </w:pPr>
            <w:r>
              <w:rPr>
                <w:bCs/>
                <w:color w:val="000000"/>
                <w:lang w:val="en-US"/>
              </w:rPr>
              <w:t>MCS Index</w:t>
            </w:r>
            <w:r>
              <w:rPr>
                <w:bCs/>
                <w:color w:val="000000"/>
                <w:lang w:val="en-US"/>
              </w:rPr>
              <w:br w:type="textWrapping"/>
            </w:r>
            <w:r>
              <w:rPr>
                <w:i/>
                <w:color w:val="000000"/>
                <w:lang w:val="en-GB"/>
              </w:rPr>
              <w:t>I</w:t>
            </w:r>
            <w:r>
              <w:rPr>
                <w:i/>
                <w:color w:val="000000"/>
                <w:vertAlign w:val="subscript"/>
                <w:lang w:val="en-GB"/>
              </w:rPr>
              <w:t>MCS</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87"/>
              <w:rPr>
                <w:bCs/>
                <w:color w:val="000000"/>
                <w:lang w:val="en-US"/>
              </w:rPr>
            </w:pPr>
            <w:r>
              <w:rPr>
                <w:bCs/>
                <w:color w:val="000000"/>
                <w:lang w:val="en-US"/>
              </w:rPr>
              <w:t>Modulation Order</w:t>
            </w:r>
            <w:r>
              <w:rPr>
                <w:bCs/>
                <w:color w:val="000000"/>
                <w:lang w:val="en-US"/>
              </w:rPr>
              <w:br w:type="textWrapping"/>
            </w:r>
            <w:r>
              <w:rPr>
                <w:i/>
                <w:color w:val="000000"/>
                <w:lang w:val="en-GB"/>
              </w:rPr>
              <w:t xml:space="preserve"> Q</w:t>
            </w:r>
            <w:r>
              <w:rPr>
                <w:i/>
                <w:color w:val="000000"/>
                <w:vertAlign w:val="subscript"/>
                <w:lang w:val="en-GB"/>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87"/>
              <w:rPr>
                <w:bCs/>
                <w:color w:val="000000"/>
                <w:lang w:val="en-US"/>
              </w:rPr>
            </w:pPr>
            <w:r>
              <w:rPr>
                <w:bCs/>
                <w:color w:val="000000"/>
                <w:lang w:val="en-US"/>
              </w:rPr>
              <w:t xml:space="preserve">Target code Rate R </w:t>
            </w:r>
            <w:r>
              <w:rPr>
                <w:color w:val="000000"/>
                <w:lang w:val="en-GB"/>
              </w:rPr>
              <w:t>x 1024</w:t>
            </w:r>
            <w:r>
              <w:rPr>
                <w:bCs/>
                <w:color w:val="000000"/>
                <w:lang w:val="en-US"/>
              </w:rPr>
              <w:br w:type="textWrapping"/>
            </w:r>
          </w:p>
        </w:tc>
        <w:tc>
          <w:tcPr>
            <w:tcW w:w="2278" w:type="dxa"/>
            <w:tcBorders>
              <w:top w:val="single" w:color="auto" w:sz="4" w:space="0"/>
              <w:left w:val="single" w:color="auto" w:sz="4" w:space="0"/>
              <w:bottom w:val="double" w:color="auto" w:sz="4" w:space="0"/>
              <w:right w:val="single" w:color="auto" w:sz="4" w:space="0"/>
            </w:tcBorders>
            <w:shd w:val="clear" w:color="auto" w:fill="E0E0E0"/>
          </w:tcPr>
          <w:p>
            <w:pPr>
              <w:pStyle w:val="87"/>
              <w:rPr>
                <w:bCs/>
                <w:color w:val="000000"/>
                <w:lang w:val="en-GB"/>
              </w:rPr>
            </w:pPr>
            <w:r>
              <w:rPr>
                <w:bCs/>
                <w:color w:val="000000"/>
                <w:lang w:val="en-GB"/>
              </w:rPr>
              <w:t>Spectral</w:t>
            </w:r>
          </w:p>
          <w:p>
            <w:pPr>
              <w:pStyle w:val="87"/>
              <w:rPr>
                <w:bCs/>
                <w:color w:val="000000"/>
                <w:lang w:val="en-US"/>
              </w:rPr>
            </w:pPr>
            <w:r>
              <w:rPr>
                <w:bCs/>
                <w:color w:val="000000"/>
                <w:lang w:val="en-GB"/>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double" w:color="auto" w:sz="4" w:space="0"/>
              <w:left w:val="single" w:color="auto" w:sz="4" w:space="0"/>
              <w:bottom w:val="single" w:color="auto" w:sz="4" w:space="0"/>
              <w:right w:val="double" w:color="auto" w:sz="4" w:space="0"/>
            </w:tcBorders>
            <w:vAlign w:val="center"/>
          </w:tcPr>
          <w:p>
            <w:pPr>
              <w:pStyle w:val="88"/>
              <w:rPr>
                <w:b/>
                <w:color w:val="000000"/>
                <w:lang w:val="en-US"/>
              </w:rPr>
            </w:pPr>
            <w:r>
              <w:rPr>
                <w:b/>
                <w:color w:val="000000"/>
                <w:lang w:val="en-US"/>
              </w:rPr>
              <w:t>0</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US"/>
              </w:rPr>
            </w:pPr>
            <w:r>
              <w:rPr>
                <w:rFonts w:ascii="Times New Roman" w:hAnsi="Times New Roman"/>
                <w:color w:val="000000"/>
                <w:sz w:val="20"/>
                <w:lang w:val="en-GB"/>
              </w:rPr>
              <w:t>q</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US"/>
              </w:rPr>
            </w:pPr>
            <w:r>
              <w:rPr>
                <w:rFonts w:ascii="Times New Roman" w:hAnsi="Times New Roman"/>
                <w:color w:val="000000"/>
                <w:sz w:val="20"/>
                <w:lang w:val="en-GB"/>
              </w:rPr>
              <w:t>240/ q</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US"/>
              </w:rPr>
            </w:pPr>
            <w:r>
              <w:rPr>
                <w:rFonts w:ascii="Times New Roman" w:hAnsi="Times New Roman"/>
                <w:color w:val="000000"/>
                <w:sz w:val="20"/>
                <w:lang w:val="en-GB"/>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rFonts w:ascii="Times New Roman" w:hAnsi="Times New Roman"/>
                <w:b/>
                <w:color w:val="000000"/>
                <w:sz w:val="20"/>
                <w:lang w:val="en-GB"/>
              </w:rPr>
            </w:pPr>
            <w:r>
              <w:rPr>
                <w:rFonts w:ascii="Times New Roman" w:hAnsi="Times New Roman"/>
                <w:b/>
                <w:color w:val="000000"/>
                <w:sz w:val="20"/>
                <w:lang w:val="en-GB"/>
              </w:rPr>
              <w:t>1</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rFonts w:ascii="Times New Roman" w:hAnsi="Times New Roman"/>
                <w:color w:val="000000"/>
                <w:sz w:val="20"/>
                <w:lang w:val="en-GB"/>
              </w:rPr>
            </w:pPr>
            <w:r>
              <w:rPr>
                <w:rFonts w:ascii="Times New Roman" w:hAnsi="Times New Roman"/>
                <w:color w:val="000000"/>
                <w:sz w:val="20"/>
                <w:lang w:val="en-GB"/>
              </w:rPr>
              <w:t>q</w:t>
            </w:r>
          </w:p>
        </w:tc>
        <w:tc>
          <w:tcPr>
            <w:tcW w:w="0" w:type="auto"/>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color w:val="000000"/>
                <w:sz w:val="20"/>
                <w:lang w:val="en-GB"/>
              </w:rPr>
              <w:t>314/ q</w:t>
            </w:r>
          </w:p>
        </w:tc>
        <w:tc>
          <w:tcPr>
            <w:tcW w:w="2278" w:type="dxa"/>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color w:val="000000"/>
                <w:sz w:val="20"/>
                <w:lang w:val="en-GB"/>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rFonts w:ascii="Times New Roman" w:hAnsi="Times New Roman"/>
                <w:b/>
                <w:color w:val="000000"/>
                <w:sz w:val="20"/>
                <w:lang w:val="en-GB"/>
              </w:rPr>
            </w:pPr>
            <w:r>
              <w:rPr>
                <w:rFonts w:ascii="Times New Roman" w:hAnsi="Times New Roman"/>
                <w:b/>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rFonts w:ascii="Times New Roman" w:hAnsi="Times New Roman"/>
                <w:color w:val="000000"/>
                <w:sz w:val="2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color w:val="000000"/>
                <w:sz w:val="20"/>
                <w:lang w:val="en-GB"/>
              </w:rPr>
              <w:t>193</w:t>
            </w:r>
          </w:p>
        </w:tc>
        <w:tc>
          <w:tcPr>
            <w:tcW w:w="2278" w:type="dxa"/>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color w:val="000000"/>
                <w:sz w:val="20"/>
                <w:lang w:val="en-GB"/>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3</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251</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0.4902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4</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308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5</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379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0.7402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6</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449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7</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526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1.0273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8</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602</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9</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679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1.3262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10</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trike/>
                <w:color w:val="000000"/>
                <w:sz w:val="20"/>
                <w:lang w:val="en-GB"/>
              </w:rPr>
              <w:t>4</w:t>
            </w:r>
            <w:r>
              <w:rPr>
                <w:rFonts w:ascii="Times New Roman" w:hAnsi="Times New Roman"/>
                <w:color w:val="000000"/>
                <w:sz w:val="20"/>
                <w:lang w:val="en-GB"/>
              </w:rPr>
              <w:t xml:space="preserve"> </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340</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1.3281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11</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378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12</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434</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1.6953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13</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490</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14</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553</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2.1602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15</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616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16</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658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2.5703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17</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466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18</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 xml:space="preserve">6 </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517</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3.0293</w:t>
            </w:r>
          </w:p>
        </w:tc>
      </w:tr>
      <w:tr>
        <w:tblPrEx>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19</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567</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20</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616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21</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666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3.9023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22</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719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23</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772</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24</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822</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4.8164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25</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873</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5.1152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26</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910</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5.3320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27</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color w:val="000000"/>
                <w:sz w:val="20"/>
                <w:lang w:val="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948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color w:val="000000"/>
                <w:sz w:val="20"/>
                <w:lang w:val="en-GB"/>
              </w:rPr>
              <w:t>5.5547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28</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q</w:t>
            </w:r>
          </w:p>
        </w:tc>
        <w:tc>
          <w:tcPr>
            <w:tcW w:w="4735" w:type="dxa"/>
            <w:gridSpan w:val="2"/>
            <w:tcBorders>
              <w:top w:val="single" w:color="auto" w:sz="4" w:space="0"/>
              <w:left w:val="single" w:color="auto" w:sz="4" w:space="0"/>
              <w:bottom w:val="single" w:color="auto" w:sz="4" w:space="0"/>
              <w:right w:val="single" w:color="auto" w:sz="4" w:space="0"/>
            </w:tcBorders>
          </w:tcPr>
          <w:p>
            <w:pPr>
              <w:pStyle w:val="88"/>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29</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2</w:t>
            </w:r>
          </w:p>
        </w:tc>
        <w:tc>
          <w:tcPr>
            <w:tcW w:w="4735" w:type="dxa"/>
            <w:gridSpan w:val="2"/>
            <w:tcBorders>
              <w:top w:val="single" w:color="auto" w:sz="4" w:space="0"/>
              <w:left w:val="single" w:color="auto" w:sz="4" w:space="0"/>
              <w:bottom w:val="single" w:color="auto" w:sz="4" w:space="0"/>
              <w:right w:val="single" w:color="auto" w:sz="4" w:space="0"/>
            </w:tcBorders>
            <w:vAlign w:val="center"/>
          </w:tcPr>
          <w:p>
            <w:pPr>
              <w:pStyle w:val="88"/>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30</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4</w:t>
            </w:r>
          </w:p>
        </w:tc>
        <w:tc>
          <w:tcPr>
            <w:tcW w:w="4735" w:type="dxa"/>
            <w:gridSpan w:val="2"/>
            <w:tcBorders>
              <w:top w:val="single" w:color="auto" w:sz="4" w:space="0"/>
              <w:left w:val="single" w:color="auto" w:sz="4" w:space="0"/>
              <w:bottom w:val="single" w:color="auto" w:sz="4" w:space="0"/>
              <w:right w:val="single" w:color="auto" w:sz="4" w:space="0"/>
            </w:tcBorders>
            <w:vAlign w:val="center"/>
          </w:tcPr>
          <w:p>
            <w:pPr>
              <w:pStyle w:val="88"/>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31</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6</w:t>
            </w:r>
          </w:p>
        </w:tc>
        <w:tc>
          <w:tcPr>
            <w:tcW w:w="4735" w:type="dxa"/>
            <w:gridSpan w:val="2"/>
            <w:tcBorders>
              <w:top w:val="single" w:color="auto" w:sz="4" w:space="0"/>
              <w:left w:val="single" w:color="auto" w:sz="4" w:space="0"/>
              <w:bottom w:val="single" w:color="auto" w:sz="4" w:space="0"/>
              <w:right w:val="single" w:color="auto" w:sz="4" w:space="0"/>
            </w:tcBorders>
            <w:vAlign w:val="center"/>
          </w:tcPr>
          <w:p>
            <w:pPr>
              <w:pStyle w:val="88"/>
              <w:rPr>
                <w:color w:val="000000"/>
                <w:lang w:val="en-GB"/>
              </w:rPr>
            </w:pPr>
            <w:r>
              <w:rPr>
                <w:color w:val="000000"/>
                <w:lang w:val="en-GB"/>
              </w:rPr>
              <w:t>reserved</w:t>
            </w:r>
          </w:p>
        </w:tc>
      </w:tr>
    </w:tbl>
    <w:p/>
    <w:p>
      <w:pPr>
        <w:pStyle w:val="91"/>
      </w:pPr>
      <w:r>
        <w:t>Table 6.1.4.1-2: MCS index table</w:t>
      </w:r>
      <w:r>
        <w:rPr>
          <w:lang w:val="en-US"/>
        </w:rPr>
        <w:t xml:space="preserve"> 2</w:t>
      </w:r>
      <w:r>
        <w:t xml:space="preserve"> for PUSCH with transform precoding and 64QAM</w:t>
      </w:r>
    </w:p>
    <w:tbl>
      <w:tblPr>
        <w:tblStyle w:val="61"/>
        <w:tblW w:w="0" w:type="auto"/>
        <w:tblInd w:w="1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716"/>
        <w:gridCol w:w="2457"/>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87"/>
              <w:rPr>
                <w:bCs/>
                <w:color w:val="000000"/>
                <w:lang w:val="en-US"/>
              </w:rPr>
            </w:pPr>
            <w:r>
              <w:rPr>
                <w:bCs/>
                <w:color w:val="000000"/>
                <w:lang w:val="en-US"/>
              </w:rPr>
              <w:t>MCS Index</w:t>
            </w:r>
            <w:r>
              <w:rPr>
                <w:bCs/>
                <w:color w:val="000000"/>
                <w:lang w:val="en-US"/>
              </w:rPr>
              <w:br w:type="textWrapping"/>
            </w:r>
            <w:r>
              <w:rPr>
                <w:i/>
                <w:color w:val="000000"/>
                <w:lang w:val="en-GB"/>
              </w:rPr>
              <w:t>I</w:t>
            </w:r>
            <w:r>
              <w:rPr>
                <w:i/>
                <w:color w:val="000000"/>
                <w:vertAlign w:val="subscript"/>
                <w:lang w:val="en-GB"/>
              </w:rPr>
              <w:t>MCS</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87"/>
              <w:rPr>
                <w:bCs/>
                <w:color w:val="000000"/>
                <w:lang w:val="en-US"/>
              </w:rPr>
            </w:pPr>
            <w:r>
              <w:rPr>
                <w:bCs/>
                <w:color w:val="000000"/>
                <w:lang w:val="en-US"/>
              </w:rPr>
              <w:t>Modulation Order</w:t>
            </w:r>
            <w:r>
              <w:rPr>
                <w:bCs/>
                <w:color w:val="000000"/>
                <w:lang w:val="en-US"/>
              </w:rPr>
              <w:br w:type="textWrapping"/>
            </w:r>
            <w:r>
              <w:rPr>
                <w:i/>
                <w:color w:val="000000"/>
                <w:lang w:val="en-GB"/>
              </w:rPr>
              <w:t xml:space="preserve"> Q</w:t>
            </w:r>
            <w:r>
              <w:rPr>
                <w:i/>
                <w:color w:val="000000"/>
                <w:vertAlign w:val="subscript"/>
                <w:lang w:val="en-GB"/>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87"/>
              <w:rPr>
                <w:bCs/>
                <w:color w:val="000000"/>
                <w:lang w:val="en-US"/>
              </w:rPr>
            </w:pPr>
            <w:r>
              <w:rPr>
                <w:bCs/>
                <w:color w:val="000000"/>
                <w:lang w:val="en-US"/>
              </w:rPr>
              <w:t xml:space="preserve">Target code Rate R </w:t>
            </w:r>
            <w:r>
              <w:rPr>
                <w:color w:val="000000"/>
                <w:lang w:val="en-GB"/>
              </w:rPr>
              <w:t>x 1024</w:t>
            </w:r>
            <w:r>
              <w:rPr>
                <w:bCs/>
                <w:color w:val="000000"/>
                <w:lang w:val="en-US"/>
              </w:rPr>
              <w:br w:type="textWrapping"/>
            </w:r>
          </w:p>
        </w:tc>
        <w:tc>
          <w:tcPr>
            <w:tcW w:w="2278" w:type="dxa"/>
            <w:tcBorders>
              <w:top w:val="single" w:color="auto" w:sz="4" w:space="0"/>
              <w:left w:val="single" w:color="auto" w:sz="4" w:space="0"/>
              <w:bottom w:val="double" w:color="auto" w:sz="4" w:space="0"/>
              <w:right w:val="single" w:color="auto" w:sz="4" w:space="0"/>
            </w:tcBorders>
            <w:shd w:val="clear" w:color="auto" w:fill="E0E0E0"/>
          </w:tcPr>
          <w:p>
            <w:pPr>
              <w:pStyle w:val="87"/>
              <w:rPr>
                <w:bCs/>
                <w:color w:val="000000"/>
                <w:lang w:val="en-GB"/>
              </w:rPr>
            </w:pPr>
            <w:r>
              <w:rPr>
                <w:bCs/>
                <w:color w:val="000000"/>
                <w:lang w:val="en-GB"/>
              </w:rPr>
              <w:t>Spectral</w:t>
            </w:r>
          </w:p>
          <w:p>
            <w:pPr>
              <w:pStyle w:val="87"/>
              <w:rPr>
                <w:bCs/>
                <w:color w:val="000000"/>
                <w:lang w:val="en-US"/>
              </w:rPr>
            </w:pPr>
            <w:r>
              <w:rPr>
                <w:bCs/>
                <w:color w:val="000000"/>
                <w:lang w:val="en-GB"/>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double" w:color="auto" w:sz="4" w:space="0"/>
              <w:left w:val="single" w:color="auto" w:sz="4" w:space="0"/>
              <w:bottom w:val="single" w:color="auto" w:sz="4" w:space="0"/>
              <w:right w:val="double" w:color="auto" w:sz="4" w:space="0"/>
            </w:tcBorders>
            <w:vAlign w:val="center"/>
          </w:tcPr>
          <w:p>
            <w:pPr>
              <w:pStyle w:val="88"/>
              <w:rPr>
                <w:b/>
                <w:color w:val="000000"/>
                <w:lang w:val="en-US"/>
              </w:rPr>
            </w:pPr>
            <w:r>
              <w:rPr>
                <w:b/>
                <w:color w:val="000000"/>
                <w:lang w:val="en-US"/>
              </w:rPr>
              <w:t>0</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US"/>
              </w:rPr>
            </w:pPr>
            <w:r>
              <w:rPr>
                <w:rFonts w:ascii="Times New Roman" w:hAnsi="Times New Roman"/>
                <w:i/>
                <w:sz w:val="20"/>
                <w:lang w:val="pt-BR" w:eastAsia="en-GB"/>
              </w:rPr>
              <w:t>q</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US"/>
              </w:rPr>
            </w:pPr>
            <w:r>
              <w:rPr>
                <w:rFonts w:ascii="Times New Roman" w:hAnsi="Times New Roman"/>
                <w:sz w:val="20"/>
                <w:lang w:val="pt-BR" w:eastAsia="en-GB"/>
              </w:rPr>
              <w:t>60/</w:t>
            </w:r>
            <w:r>
              <w:rPr>
                <w:rFonts w:ascii="Times New Roman" w:hAnsi="Times New Roman"/>
                <w:i/>
                <w:sz w:val="20"/>
                <w:lang w:val="pt-BR" w:eastAsia="en-GB"/>
              </w:rPr>
              <w:t>q</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US"/>
              </w:rPr>
            </w:pPr>
            <w:r>
              <w:rPr>
                <w:rFonts w:ascii="Times New Roman" w:hAnsi="Times New Roman"/>
                <w:sz w:val="20"/>
                <w:lang w:eastAsia="en-GB"/>
              </w:rPr>
              <w:t>0.0586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rFonts w:ascii="Times New Roman" w:hAnsi="Times New Roman"/>
                <w:b/>
                <w:color w:val="000000"/>
                <w:sz w:val="20"/>
                <w:lang w:val="en-GB"/>
              </w:rPr>
            </w:pPr>
            <w:r>
              <w:rPr>
                <w:rFonts w:ascii="Times New Roman" w:hAnsi="Times New Roman"/>
                <w:b/>
                <w:color w:val="000000"/>
                <w:sz w:val="20"/>
                <w:lang w:val="en-GB"/>
              </w:rPr>
              <w:t>1</w:t>
            </w:r>
          </w:p>
        </w:tc>
        <w:tc>
          <w:tcPr>
            <w:tcW w:w="0" w:type="auto"/>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i/>
                <w:sz w:val="20"/>
                <w:lang w:val="pt-BR" w:eastAsia="en-GB"/>
              </w:rPr>
              <w:t>q</w:t>
            </w:r>
          </w:p>
        </w:tc>
        <w:tc>
          <w:tcPr>
            <w:tcW w:w="0" w:type="auto"/>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sz w:val="20"/>
                <w:lang w:val="pt-BR" w:eastAsia="en-GB"/>
              </w:rPr>
              <w:t>80/</w:t>
            </w:r>
            <w:r>
              <w:rPr>
                <w:rFonts w:ascii="Times New Roman" w:hAnsi="Times New Roman"/>
                <w:i/>
                <w:sz w:val="20"/>
                <w:lang w:val="pt-BR" w:eastAsia="en-GB"/>
              </w:rPr>
              <w:t>q</w:t>
            </w:r>
          </w:p>
        </w:tc>
        <w:tc>
          <w:tcPr>
            <w:tcW w:w="2278" w:type="dxa"/>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sz w:val="20"/>
                <w:lang w:eastAsia="en-GB"/>
              </w:rPr>
              <w:t>0.0781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rFonts w:ascii="Times New Roman" w:hAnsi="Times New Roman"/>
                <w:b/>
                <w:color w:val="000000"/>
                <w:sz w:val="20"/>
                <w:lang w:val="en-GB"/>
              </w:rPr>
            </w:pPr>
            <w:r>
              <w:rPr>
                <w:rFonts w:ascii="Times New Roman" w:hAnsi="Times New Roman"/>
                <w:b/>
                <w:color w:val="000000"/>
                <w:sz w:val="20"/>
                <w:lang w:val="en-GB"/>
              </w:rPr>
              <w:t>2</w:t>
            </w:r>
          </w:p>
        </w:tc>
        <w:tc>
          <w:tcPr>
            <w:tcW w:w="0" w:type="auto"/>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i/>
                <w:sz w:val="20"/>
                <w:lang w:val="pt-BR" w:eastAsia="en-GB"/>
              </w:rPr>
              <w:t>q</w:t>
            </w:r>
          </w:p>
        </w:tc>
        <w:tc>
          <w:tcPr>
            <w:tcW w:w="0" w:type="auto"/>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sz w:val="20"/>
                <w:lang w:val="pt-BR" w:eastAsia="en-GB"/>
              </w:rPr>
              <w:t>100/</w:t>
            </w:r>
            <w:r>
              <w:rPr>
                <w:rFonts w:ascii="Times New Roman" w:hAnsi="Times New Roman"/>
                <w:i/>
                <w:sz w:val="20"/>
                <w:lang w:val="pt-BR" w:eastAsia="en-GB"/>
              </w:rPr>
              <w:t>q</w:t>
            </w:r>
          </w:p>
        </w:tc>
        <w:tc>
          <w:tcPr>
            <w:tcW w:w="2278" w:type="dxa"/>
            <w:tcBorders>
              <w:top w:val="single" w:color="auto" w:sz="8" w:space="0"/>
              <w:left w:val="single" w:color="auto" w:sz="8" w:space="0"/>
              <w:bottom w:val="single" w:color="auto" w:sz="8" w:space="0"/>
              <w:right w:val="single" w:color="auto" w:sz="8" w:space="0"/>
            </w:tcBorders>
          </w:tcPr>
          <w:p>
            <w:pPr>
              <w:pStyle w:val="88"/>
              <w:rPr>
                <w:rFonts w:ascii="Times New Roman" w:hAnsi="Times New Roman"/>
                <w:color w:val="000000"/>
                <w:sz w:val="20"/>
                <w:lang w:val="en-GB"/>
              </w:rPr>
            </w:pPr>
            <w:r>
              <w:rPr>
                <w:rFonts w:ascii="Times New Roman" w:hAnsi="Times New Roman"/>
                <w:sz w:val="20"/>
                <w:lang w:eastAsia="en-GB"/>
              </w:rPr>
              <w:t>0.0977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3</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i/>
                <w:sz w:val="20"/>
                <w:lang w:val="pt-BR" w:eastAsia="en-GB"/>
              </w:rPr>
              <w:t>q</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128/</w:t>
            </w:r>
            <w:r>
              <w:rPr>
                <w:rFonts w:ascii="Times New Roman" w:hAnsi="Times New Roman"/>
                <w:i/>
                <w:sz w:val="20"/>
                <w:lang w:val="pt-BR" w:eastAsia="en-GB"/>
              </w:rPr>
              <w:t>q</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0.1250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i/>
                <w:sz w:val="20"/>
                <w:lang w:val="pt-BR" w:eastAsia="en-GB"/>
              </w:rPr>
              <w:t>q</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156/</w:t>
            </w:r>
            <w:r>
              <w:rPr>
                <w:rFonts w:ascii="Times New Roman" w:hAnsi="Times New Roman"/>
                <w:i/>
                <w:sz w:val="20"/>
                <w:lang w:val="pt-BR" w:eastAsia="en-GB"/>
              </w:rPr>
              <w:t>q</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0.1523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5</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i/>
                <w:sz w:val="20"/>
                <w:lang w:val="pt-BR" w:eastAsia="en-GB"/>
              </w:rPr>
              <w:t>q</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198/</w:t>
            </w:r>
            <w:r>
              <w:rPr>
                <w:rFonts w:ascii="Times New Roman" w:hAnsi="Times New Roman"/>
                <w:i/>
                <w:sz w:val="20"/>
                <w:lang w:val="pt-BR" w:eastAsia="en-GB"/>
              </w:rPr>
              <w:t>q</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0.1934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6</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val="pt-BR"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 xml:space="preserve">120 </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7</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val="pt-BR"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 xml:space="preserve">157 </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8</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193</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9</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251</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0.4902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10</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308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11</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379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12</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449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13</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526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1.0273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14</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602</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15</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rPr>
              <w:t>2</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rPr>
              <w:t>679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rPr>
              <w:t>1.3262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16</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378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xml:space="preserve"> 1.4766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17</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434</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1.6953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18</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490</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1.9141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19</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553</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2.1602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20</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616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2.4063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21</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rPr>
              <w:t>658</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rPr>
              <w:t>2.5703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22</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699</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2.7305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23</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4</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772</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3.0156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24</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567</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3.3223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25</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616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3.6094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26</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666</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3.9023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27</w:t>
            </w:r>
          </w:p>
        </w:tc>
        <w:tc>
          <w:tcPr>
            <w:tcW w:w="0" w:type="auto"/>
            <w:tcBorders>
              <w:top w:val="single" w:color="auto" w:sz="8" w:space="0"/>
              <w:left w:val="single" w:color="auto" w:sz="8" w:space="0"/>
              <w:bottom w:val="single" w:color="auto" w:sz="8" w:space="0"/>
              <w:right w:val="single" w:color="auto" w:sz="8" w:space="0"/>
            </w:tcBorders>
            <w:vAlign w:val="center"/>
          </w:tcPr>
          <w:p>
            <w:pPr>
              <w:pStyle w:val="88"/>
              <w:rPr>
                <w:color w:val="000000"/>
                <w:lang w:val="en-GB"/>
              </w:rPr>
            </w:pPr>
            <w:r>
              <w:rPr>
                <w:rFonts w:ascii="Times New Roman" w:hAnsi="Times New Roman"/>
                <w:sz w:val="20"/>
                <w:lang w:eastAsia="en-GB"/>
              </w:rPr>
              <w:t>6</w:t>
            </w:r>
          </w:p>
        </w:tc>
        <w:tc>
          <w:tcPr>
            <w:tcW w:w="0" w:type="auto"/>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val="pt-BR" w:eastAsia="en-GB"/>
              </w:rPr>
              <w:t>772</w:t>
            </w:r>
          </w:p>
        </w:tc>
        <w:tc>
          <w:tcPr>
            <w:tcW w:w="2278" w:type="dxa"/>
            <w:tcBorders>
              <w:top w:val="single" w:color="auto" w:sz="8" w:space="0"/>
              <w:left w:val="single" w:color="auto" w:sz="8" w:space="0"/>
              <w:bottom w:val="single" w:color="auto" w:sz="8" w:space="0"/>
              <w:right w:val="single" w:color="auto" w:sz="8" w:space="0"/>
            </w:tcBorders>
          </w:tcPr>
          <w:p>
            <w:pPr>
              <w:pStyle w:val="88"/>
              <w:rPr>
                <w:color w:val="000000"/>
                <w:lang w:val="en-GB"/>
              </w:rPr>
            </w:pPr>
            <w:r>
              <w:rPr>
                <w:rFonts w:ascii="Times New Roman" w:hAnsi="Times New Roman"/>
                <w:sz w:val="20"/>
                <w:lang w:eastAsia="en-GB"/>
              </w:rPr>
              <w:t> 4.5234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28</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q</w:t>
            </w:r>
          </w:p>
        </w:tc>
        <w:tc>
          <w:tcPr>
            <w:tcW w:w="4735" w:type="dxa"/>
            <w:gridSpan w:val="2"/>
            <w:tcBorders>
              <w:top w:val="single" w:color="auto" w:sz="4" w:space="0"/>
              <w:left w:val="single" w:color="auto" w:sz="4" w:space="0"/>
              <w:bottom w:val="single" w:color="auto" w:sz="4" w:space="0"/>
              <w:right w:val="single" w:color="auto" w:sz="4" w:space="0"/>
            </w:tcBorders>
          </w:tcPr>
          <w:p>
            <w:pPr>
              <w:pStyle w:val="88"/>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29</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2</w:t>
            </w:r>
          </w:p>
        </w:tc>
        <w:tc>
          <w:tcPr>
            <w:tcW w:w="4735" w:type="dxa"/>
            <w:gridSpan w:val="2"/>
            <w:tcBorders>
              <w:top w:val="single" w:color="auto" w:sz="4" w:space="0"/>
              <w:left w:val="single" w:color="auto" w:sz="4" w:space="0"/>
              <w:bottom w:val="single" w:color="auto" w:sz="4" w:space="0"/>
              <w:right w:val="single" w:color="auto" w:sz="4" w:space="0"/>
            </w:tcBorders>
            <w:vAlign w:val="center"/>
          </w:tcPr>
          <w:p>
            <w:pPr>
              <w:pStyle w:val="88"/>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30</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4</w:t>
            </w:r>
          </w:p>
        </w:tc>
        <w:tc>
          <w:tcPr>
            <w:tcW w:w="4735" w:type="dxa"/>
            <w:gridSpan w:val="2"/>
            <w:tcBorders>
              <w:top w:val="single" w:color="auto" w:sz="4" w:space="0"/>
              <w:left w:val="single" w:color="auto" w:sz="4" w:space="0"/>
              <w:bottom w:val="single" w:color="auto" w:sz="4" w:space="0"/>
              <w:right w:val="single" w:color="auto" w:sz="4" w:space="0"/>
            </w:tcBorders>
            <w:vAlign w:val="center"/>
          </w:tcPr>
          <w:p>
            <w:pPr>
              <w:pStyle w:val="88"/>
              <w:rPr>
                <w:color w:val="000000"/>
                <w:lang w:val="en-GB"/>
              </w:rPr>
            </w:pPr>
            <w:r>
              <w:rPr>
                <w:color w:val="000000"/>
                <w:lang w:val="en-GB"/>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Borders>
              <w:top w:val="single" w:color="auto" w:sz="4" w:space="0"/>
              <w:left w:val="single" w:color="auto" w:sz="4" w:space="0"/>
              <w:bottom w:val="single" w:color="auto" w:sz="4" w:space="0"/>
              <w:right w:val="double" w:color="auto" w:sz="4" w:space="0"/>
            </w:tcBorders>
            <w:vAlign w:val="center"/>
          </w:tcPr>
          <w:p>
            <w:pPr>
              <w:pStyle w:val="88"/>
              <w:rPr>
                <w:b/>
                <w:color w:val="000000"/>
                <w:lang w:val="en-GB"/>
              </w:rPr>
            </w:pPr>
            <w:r>
              <w:rPr>
                <w:b/>
                <w:color w:val="000000"/>
                <w:lang w:val="en-GB"/>
              </w:rPr>
              <w:t>31</w:t>
            </w:r>
          </w:p>
        </w:tc>
        <w:tc>
          <w:tcPr>
            <w:tcW w:w="0" w:type="auto"/>
            <w:tcBorders>
              <w:top w:val="single" w:color="auto" w:sz="4" w:space="0"/>
              <w:left w:val="double" w:color="auto" w:sz="4" w:space="0"/>
              <w:bottom w:val="single" w:color="auto" w:sz="4" w:space="0"/>
              <w:right w:val="single" w:color="auto" w:sz="4" w:space="0"/>
            </w:tcBorders>
            <w:vAlign w:val="center"/>
          </w:tcPr>
          <w:p>
            <w:pPr>
              <w:pStyle w:val="88"/>
              <w:rPr>
                <w:color w:val="000000"/>
                <w:lang w:val="en-GB"/>
              </w:rPr>
            </w:pPr>
            <w:r>
              <w:rPr>
                <w:color w:val="000000"/>
                <w:lang w:val="en-GB"/>
              </w:rPr>
              <w:t>6</w:t>
            </w:r>
          </w:p>
        </w:tc>
        <w:tc>
          <w:tcPr>
            <w:tcW w:w="4735" w:type="dxa"/>
            <w:gridSpan w:val="2"/>
            <w:tcBorders>
              <w:top w:val="single" w:color="auto" w:sz="4" w:space="0"/>
              <w:left w:val="single" w:color="auto" w:sz="4" w:space="0"/>
              <w:bottom w:val="single" w:color="auto" w:sz="4" w:space="0"/>
              <w:right w:val="single" w:color="auto" w:sz="4" w:space="0"/>
            </w:tcBorders>
            <w:vAlign w:val="center"/>
          </w:tcPr>
          <w:p>
            <w:pPr>
              <w:pStyle w:val="88"/>
              <w:rPr>
                <w:color w:val="000000"/>
                <w:lang w:val="en-GB"/>
              </w:rPr>
            </w:pPr>
            <w:r>
              <w:rPr>
                <w:color w:val="000000"/>
                <w:lang w:val="en-GB"/>
              </w:rPr>
              <w:t>reserved</w:t>
            </w:r>
          </w:p>
        </w:tc>
      </w:tr>
    </w:tbl>
    <w:p>
      <w:pPr>
        <w:rPr>
          <w:color w:val="000000"/>
        </w:rPr>
      </w:pPr>
    </w:p>
    <w:p>
      <w:pPr>
        <w:pStyle w:val="91"/>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 in RAR UL grant</w:t>
      </w:r>
    </w:p>
    <w:tbl>
      <w:tblPr>
        <w:tblStyle w:val="61"/>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2824"/>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87"/>
              <w:rPr>
                <w:lang w:val="en-US" w:eastAsia="zh-CN"/>
              </w:rPr>
            </w:pPr>
            <w:r>
              <w:rPr>
                <w:i/>
                <w:iCs/>
                <w:strike/>
                <w:color w:val="FF0000"/>
              </w:rPr>
              <w:t>mcs-Msg3Repetition</w:t>
            </w:r>
            <w:r>
              <w:rPr>
                <w:i/>
                <w:iCs/>
                <w:color w:val="FF0000"/>
                <w:u w:val="single"/>
              </w:rPr>
              <w:t>mcs-Msg3-Repetitions</w:t>
            </w:r>
            <w:r>
              <w:rPr>
                <w:i/>
                <w:iCs/>
              </w:rPr>
              <w:t xml:space="preserve"> is configured</w:t>
            </w:r>
          </w:p>
        </w:tc>
        <w:tc>
          <w:tcPr>
            <w:tcW w:w="290" w:type="dxa"/>
            <w:shd w:val="clear" w:color="auto" w:fill="E7E6E6"/>
          </w:tcPr>
          <w:p>
            <w:pPr>
              <w:pStyle w:val="87"/>
              <w:rPr>
                <w:lang w:val="en-US" w:eastAsia="zh-CN"/>
              </w:rPr>
            </w:pPr>
          </w:p>
        </w:tc>
        <w:tc>
          <w:tcPr>
            <w:tcW w:w="4607" w:type="dxa"/>
            <w:gridSpan w:val="2"/>
            <w:shd w:val="clear" w:color="auto" w:fill="E7E6E6"/>
          </w:tcPr>
          <w:p>
            <w:pPr>
              <w:pStyle w:val="87"/>
              <w:rPr>
                <w:lang w:val="en-US" w:eastAsia="zh-CN"/>
              </w:rPr>
            </w:pPr>
            <w:r>
              <w:rPr>
                <w:i/>
                <w:iCs/>
                <w:strike/>
                <w:color w:val="FF0000"/>
              </w:rPr>
              <w:t>mcs-Msg3Repetition</w:t>
            </w:r>
            <w:r>
              <w:rPr>
                <w:i/>
                <w:iCs/>
                <w:color w:val="FF0000"/>
                <w:u w:val="single"/>
              </w:rPr>
              <w:t>mcs-Msg3-Repetitions</w:t>
            </w:r>
            <w:r>
              <w:rPr>
                <w:i/>
                <w:iCs/>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912" w:type="dxa"/>
            <w:shd w:val="clear" w:color="auto" w:fill="E7E6E6"/>
            <w:vAlign w:val="center"/>
          </w:tcPr>
          <w:p>
            <w:pPr>
              <w:pStyle w:val="87"/>
              <w:rPr>
                <w:i/>
                <w:lang w:val="en-US" w:eastAsia="zh-CN"/>
              </w:rPr>
            </w:pPr>
            <w:r>
              <w:rPr>
                <w:i/>
                <w:lang w:val="en-US" w:eastAsia="zh-CN"/>
              </w:rPr>
              <w:t>Codepoint</w:t>
            </w:r>
          </w:p>
        </w:tc>
        <w:tc>
          <w:tcPr>
            <w:tcW w:w="2824" w:type="dxa"/>
            <w:shd w:val="clear" w:color="auto" w:fill="E7E6E6"/>
          </w:tcPr>
          <w:p>
            <w:pPr>
              <w:pStyle w:val="87"/>
              <w:rPr>
                <w:i/>
                <w:iCs/>
                <w:lang w:val="en-US" w:eastAsia="zh-CN"/>
              </w:rPr>
            </w:pPr>
            <w:r>
              <w:rPr>
                <w:i/>
                <w:color w:val="000000"/>
              </w:rPr>
              <w:t>I</w:t>
            </w:r>
            <w:r>
              <w:rPr>
                <w:i/>
                <w:color w:val="000000"/>
                <w:vertAlign w:val="subscript"/>
              </w:rPr>
              <w:t>MCS</w:t>
            </w:r>
          </w:p>
        </w:tc>
        <w:tc>
          <w:tcPr>
            <w:tcW w:w="290" w:type="dxa"/>
            <w:shd w:val="clear" w:color="auto" w:fill="E7E6E6"/>
          </w:tcPr>
          <w:p>
            <w:pPr>
              <w:pStyle w:val="87"/>
              <w:rPr>
                <w:lang w:val="en-US" w:eastAsia="zh-CN"/>
              </w:rPr>
            </w:pPr>
          </w:p>
        </w:tc>
        <w:tc>
          <w:tcPr>
            <w:tcW w:w="2303" w:type="dxa"/>
            <w:shd w:val="clear" w:color="auto" w:fill="E7E6E6"/>
          </w:tcPr>
          <w:p>
            <w:pPr>
              <w:pStyle w:val="87"/>
              <w:rPr>
                <w:lang w:val="en-US" w:eastAsia="zh-CN"/>
              </w:rPr>
            </w:pPr>
            <w:r>
              <w:rPr>
                <w:lang w:val="en-US" w:eastAsia="zh-CN"/>
              </w:rPr>
              <w:t>Codepoint</w:t>
            </w:r>
          </w:p>
        </w:tc>
        <w:tc>
          <w:tcPr>
            <w:tcW w:w="2304" w:type="dxa"/>
            <w:shd w:val="clear" w:color="auto" w:fill="E7E6E6"/>
          </w:tcPr>
          <w:p>
            <w:pPr>
              <w:pStyle w:val="87"/>
              <w:rPr>
                <w:i/>
                <w:iCs/>
                <w:lang w:val="en-US" w:eastAsia="zh-CN"/>
              </w:rPr>
            </w:pPr>
            <w:r>
              <w:rPr>
                <w:i/>
                <w:color w:val="000000"/>
              </w:rPr>
              <w:t>I</w:t>
            </w:r>
            <w:r>
              <w:rPr>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912" w:type="dxa"/>
            <w:shd w:val="clear" w:color="auto" w:fill="auto"/>
            <w:vAlign w:val="center"/>
          </w:tcPr>
          <w:p>
            <w:pPr>
              <w:pStyle w:val="88"/>
              <w:rPr>
                <w:lang w:val="en-US" w:eastAsia="zh-CN"/>
              </w:rPr>
            </w:pPr>
            <w:r>
              <w:rPr>
                <w:lang w:val="en-US" w:eastAsia="zh-CN"/>
              </w:rPr>
              <w:t>00</w:t>
            </w:r>
          </w:p>
        </w:tc>
        <w:tc>
          <w:tcPr>
            <w:tcW w:w="2824" w:type="dxa"/>
          </w:tcPr>
          <w:p>
            <w:pPr>
              <w:pStyle w:val="88"/>
              <w:rPr>
                <w:lang w:val="en-US" w:eastAsia="zh-CN"/>
              </w:rPr>
            </w:pPr>
            <w:r>
              <w:rPr>
                <w:lang w:val="en-US" w:eastAsia="zh-CN"/>
              </w:rPr>
              <w:t xml:space="preserve">First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00</w:t>
            </w:r>
          </w:p>
        </w:tc>
        <w:tc>
          <w:tcPr>
            <w:tcW w:w="2304" w:type="dxa"/>
            <w:vAlign w:val="center"/>
          </w:tcPr>
          <w:p>
            <w:pPr>
              <w:pStyle w:val="8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12" w:type="dxa"/>
            <w:shd w:val="clear" w:color="auto" w:fill="auto"/>
            <w:vAlign w:val="center"/>
          </w:tcPr>
          <w:p>
            <w:pPr>
              <w:pStyle w:val="88"/>
              <w:rPr>
                <w:lang w:val="en-US" w:eastAsia="zh-CN"/>
              </w:rPr>
            </w:pPr>
            <w:r>
              <w:rPr>
                <w:lang w:val="en-US" w:eastAsia="zh-CN"/>
              </w:rPr>
              <w:t>01</w:t>
            </w:r>
          </w:p>
        </w:tc>
        <w:tc>
          <w:tcPr>
            <w:tcW w:w="2824" w:type="dxa"/>
          </w:tcPr>
          <w:p>
            <w:pPr>
              <w:pStyle w:val="88"/>
              <w:rPr>
                <w:lang w:val="en-US" w:eastAsia="zh-CN"/>
              </w:rPr>
            </w:pPr>
            <w:r>
              <w:rPr>
                <w:lang w:val="en-US" w:eastAsia="zh-CN"/>
              </w:rPr>
              <w:t xml:space="preserve">Second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en-US" w:eastAsia="zh-CN"/>
              </w:rPr>
              <w:t>01</w:t>
            </w:r>
          </w:p>
        </w:tc>
        <w:tc>
          <w:tcPr>
            <w:tcW w:w="2304" w:type="dxa"/>
            <w:vAlign w:val="center"/>
          </w:tcPr>
          <w:p>
            <w:pPr>
              <w:pStyle w:val="8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12" w:type="dxa"/>
            <w:shd w:val="clear" w:color="auto" w:fill="auto"/>
            <w:vAlign w:val="center"/>
          </w:tcPr>
          <w:p>
            <w:pPr>
              <w:pStyle w:val="88"/>
              <w:rPr>
                <w:lang w:val="fr-FR" w:eastAsia="zh-CN"/>
              </w:rPr>
            </w:pPr>
            <w:r>
              <w:rPr>
                <w:lang w:val="fr-FR" w:eastAsia="zh-CN"/>
              </w:rPr>
              <w:t>10</w:t>
            </w:r>
          </w:p>
        </w:tc>
        <w:tc>
          <w:tcPr>
            <w:tcW w:w="2824" w:type="dxa"/>
          </w:tcPr>
          <w:p>
            <w:pPr>
              <w:pStyle w:val="88"/>
              <w:rPr>
                <w:lang w:val="en-US" w:eastAsia="zh-CN"/>
              </w:rPr>
            </w:pPr>
            <w:r>
              <w:rPr>
                <w:lang w:val="en-US" w:eastAsia="zh-CN"/>
              </w:rPr>
              <w:t xml:space="preserve">Third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10</w:t>
            </w:r>
          </w:p>
        </w:tc>
        <w:tc>
          <w:tcPr>
            <w:tcW w:w="2304" w:type="dxa"/>
            <w:vAlign w:val="center"/>
          </w:tcPr>
          <w:p>
            <w:pPr>
              <w:pStyle w:val="8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12" w:type="dxa"/>
            <w:shd w:val="clear" w:color="auto" w:fill="auto"/>
            <w:vAlign w:val="center"/>
          </w:tcPr>
          <w:p>
            <w:pPr>
              <w:pStyle w:val="88"/>
              <w:rPr>
                <w:lang w:val="fr-FR" w:eastAsia="zh-CN"/>
              </w:rPr>
            </w:pPr>
            <w:r>
              <w:rPr>
                <w:lang w:val="fr-FR" w:eastAsia="zh-CN"/>
              </w:rPr>
              <w:t>11</w:t>
            </w:r>
          </w:p>
        </w:tc>
        <w:tc>
          <w:tcPr>
            <w:tcW w:w="2824" w:type="dxa"/>
          </w:tcPr>
          <w:p>
            <w:pPr>
              <w:pStyle w:val="88"/>
              <w:rPr>
                <w:lang w:val="en-US" w:eastAsia="zh-CN"/>
              </w:rPr>
            </w:pPr>
            <w:r>
              <w:rPr>
                <w:lang w:val="en-US" w:eastAsia="zh-CN"/>
              </w:rPr>
              <w:t xml:space="preserve">Fourth value of </w:t>
            </w:r>
            <w:r>
              <w:rPr>
                <w:i/>
                <w:iCs/>
                <w:strike/>
                <w:color w:val="FF0000"/>
              </w:rPr>
              <w:t>mcs-Msg3Repetition</w:t>
            </w:r>
            <w:r>
              <w:rPr>
                <w:i/>
                <w:iCs/>
                <w:color w:val="FF0000"/>
                <w:u w:val="single"/>
              </w:rPr>
              <w:t>mcs-Msg3-Repetitions</w:t>
            </w:r>
          </w:p>
        </w:tc>
        <w:tc>
          <w:tcPr>
            <w:tcW w:w="290" w:type="dxa"/>
          </w:tcPr>
          <w:p>
            <w:pPr>
              <w:pStyle w:val="88"/>
              <w:rPr>
                <w:lang w:val="en-US" w:eastAsia="zh-CN"/>
              </w:rPr>
            </w:pPr>
          </w:p>
        </w:tc>
        <w:tc>
          <w:tcPr>
            <w:tcW w:w="2303" w:type="dxa"/>
            <w:vAlign w:val="center"/>
          </w:tcPr>
          <w:p>
            <w:pPr>
              <w:pStyle w:val="88"/>
              <w:rPr>
                <w:lang w:val="en-US" w:eastAsia="zh-CN"/>
              </w:rPr>
            </w:pPr>
            <w:r>
              <w:rPr>
                <w:lang w:val="fr-FR" w:eastAsia="zh-CN"/>
              </w:rPr>
              <w:t>11</w:t>
            </w:r>
          </w:p>
        </w:tc>
        <w:tc>
          <w:tcPr>
            <w:tcW w:w="2304" w:type="dxa"/>
            <w:vAlign w:val="center"/>
          </w:tcPr>
          <w:p>
            <w:pPr>
              <w:pStyle w:val="88"/>
              <w:rPr>
                <w:lang w:val="en-US" w:eastAsia="zh-CN"/>
              </w:rPr>
            </w:pPr>
            <w:r>
              <w:rPr>
                <w:lang w:val="en-US" w:eastAsia="zh-CN"/>
              </w:rPr>
              <w:t>3</w:t>
            </w:r>
          </w:p>
        </w:tc>
      </w:tr>
    </w:tbl>
    <w:p/>
    <w:p>
      <w:pPr>
        <w:pStyle w:val="91"/>
        <w:rPr>
          <w:color w:val="000000" w:themeColor="text1"/>
          <w:lang w:val="en-US" w:eastAsia="zh-CN"/>
          <w14:textFill>
            <w14:solidFill>
              <w14:schemeClr w14:val="tx1"/>
            </w14:solidFill>
          </w14:textFill>
        </w:rPr>
      </w:pPr>
      <w:r>
        <w:rPr>
          <w:color w:val="000000" w:themeColor="text1"/>
          <w14:textFill>
            <w14:solidFill>
              <w14:schemeClr w14:val="tx1"/>
            </w14:solidFill>
          </w14:textFill>
        </w:rPr>
        <w:t>Table 6.1.4.1-</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 xml:space="preserve">: MCS index </w:t>
      </w:r>
      <w:r>
        <w:rPr>
          <w:i/>
          <w:color w:val="000000" w:themeColor="text1"/>
          <w14:textFill>
            <w14:solidFill>
              <w14:schemeClr w14:val="tx1"/>
            </w14:solidFill>
          </w14:textFill>
        </w:rPr>
        <w:t>I</w:t>
      </w:r>
      <w:r>
        <w:rPr>
          <w:i/>
          <w:color w:val="000000" w:themeColor="text1"/>
          <w:vertAlign w:val="subscript"/>
          <w14:textFill>
            <w14:solidFill>
              <w14:schemeClr w14:val="tx1"/>
            </w14:solidFill>
          </w14:textFill>
        </w:rPr>
        <w:t>MCS</w:t>
      </w:r>
      <w:r>
        <w:rPr>
          <w:color w:val="000000" w:themeColor="text1"/>
          <w14:textFill>
            <w14:solidFill>
              <w14:schemeClr w14:val="tx1"/>
            </w14:solidFill>
          </w14:textFill>
        </w:rPr>
        <w:t xml:space="preserve"> as a function of </w:t>
      </w:r>
      <w:r>
        <w:rPr>
          <w:rFonts w:hint="eastAsia"/>
          <w:color w:val="000000" w:themeColor="text1"/>
          <w:lang w:val="en-US" w:eastAsia="zh-CN"/>
          <w14:textFill>
            <w14:solidFill>
              <w14:schemeClr w14:val="tx1"/>
            </w14:solidFill>
          </w14:textFill>
        </w:rPr>
        <w:t xml:space="preserve">3 </w:t>
      </w:r>
      <w:r>
        <w:rPr>
          <w:color w:val="000000" w:themeColor="text1"/>
          <w14:textFill>
            <w14:solidFill>
              <w14:schemeClr w14:val="tx1"/>
            </w14:solidFill>
          </w14:textFill>
        </w:rPr>
        <w:t>LSBs of MCS information field</w:t>
      </w:r>
      <w:r>
        <w:rPr>
          <w:rFonts w:hint="eastAsia"/>
          <w:color w:val="000000" w:themeColor="text1"/>
          <w:lang w:val="en-US" w:eastAsia="zh-CN"/>
          <w14:textFill>
            <w14:solidFill>
              <w14:schemeClr w14:val="tx1"/>
            </w14:solidFill>
          </w14:textFill>
        </w:rPr>
        <w:t xml:space="preserve"> in </w:t>
      </w:r>
      <w:r>
        <w:rPr>
          <w:color w:val="000000" w:themeColor="text1"/>
          <w:lang w:val="en-US"/>
          <w14:textFill>
            <w14:solidFill>
              <w14:schemeClr w14:val="tx1"/>
            </w14:solidFill>
          </w14:textFill>
        </w:rPr>
        <w:t>DCI format 0_0 with CRC scrambled by the TC-RNTI</w:t>
      </w:r>
    </w:p>
    <w:tbl>
      <w:tblPr>
        <w:tblStyle w:val="61"/>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87"/>
              <w:rPr>
                <w:color w:val="000000" w:themeColor="text1"/>
                <w:lang w:val="en-US" w:eastAsia="zh-CN"/>
                <w14:textFill>
                  <w14:solidFill>
                    <w14:schemeClr w14:val="tx1"/>
                  </w14:solidFill>
                </w14:textFill>
              </w:rPr>
            </w:pPr>
            <w:r>
              <w:rPr>
                <w:i/>
                <w:iCs/>
                <w:strike/>
                <w:color w:val="FF0000"/>
              </w:rPr>
              <w:t>mcs-Msg3Repetition</w:t>
            </w:r>
            <w:r>
              <w:rPr>
                <w:i/>
                <w:iCs/>
                <w:color w:val="FF0000"/>
                <w:u w:val="single"/>
              </w:rPr>
              <w:t>mcs-Msg3-Repetitions</w:t>
            </w:r>
            <w:r>
              <w:rPr>
                <w:i/>
                <w:iCs/>
                <w:color w:val="000000" w:themeColor="text1"/>
                <w14:textFill>
                  <w14:solidFill>
                    <w14:schemeClr w14:val="tx1"/>
                  </w14:solidFill>
                </w14:textFill>
              </w:rPr>
              <w:t xml:space="preserve"> is configured</w:t>
            </w:r>
          </w:p>
        </w:tc>
        <w:tc>
          <w:tcPr>
            <w:tcW w:w="290" w:type="dxa"/>
            <w:shd w:val="clear" w:color="auto" w:fill="E7E6E6"/>
          </w:tcPr>
          <w:p>
            <w:pPr>
              <w:pStyle w:val="87"/>
              <w:rPr>
                <w:color w:val="000000" w:themeColor="text1"/>
                <w:lang w:val="en-US" w:eastAsia="zh-CN"/>
                <w14:textFill>
                  <w14:solidFill>
                    <w14:schemeClr w14:val="tx1"/>
                  </w14:solidFill>
                </w14:textFill>
              </w:rPr>
            </w:pPr>
          </w:p>
        </w:tc>
        <w:tc>
          <w:tcPr>
            <w:tcW w:w="4607" w:type="dxa"/>
            <w:gridSpan w:val="2"/>
            <w:shd w:val="clear" w:color="auto" w:fill="E7E6E6"/>
          </w:tcPr>
          <w:p>
            <w:pPr>
              <w:pStyle w:val="87"/>
              <w:rPr>
                <w:color w:val="000000" w:themeColor="text1"/>
                <w:lang w:val="en-US" w:eastAsia="zh-CN"/>
                <w14:textFill>
                  <w14:solidFill>
                    <w14:schemeClr w14:val="tx1"/>
                  </w14:solidFill>
                </w14:textFill>
              </w:rPr>
            </w:pPr>
            <w:r>
              <w:rPr>
                <w:i/>
                <w:iCs/>
                <w:strike/>
                <w:color w:val="FF0000"/>
              </w:rPr>
              <w:t>mcs-Msg3Repetition</w:t>
            </w:r>
            <w:r>
              <w:rPr>
                <w:i/>
                <w:iCs/>
                <w:color w:val="FF0000"/>
                <w:u w:val="single"/>
              </w:rPr>
              <w:t>mcs-Msg3-Repetitions</w:t>
            </w:r>
            <w:r>
              <w:rPr>
                <w:i/>
                <w:iCs/>
                <w:color w:val="000000" w:themeColor="text1"/>
                <w14:textFill>
                  <w14:solidFill>
                    <w14:schemeClr w14:val="tx1"/>
                  </w14:solidFill>
                </w14:textFill>
              </w:rPr>
              <w:t xml:space="preserve">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87"/>
              <w:rPr>
                <w:i/>
                <w:color w:val="000000" w:themeColor="text1"/>
                <w:lang w:val="en-US" w:eastAsia="zh-CN"/>
                <w14:textFill>
                  <w14:solidFill>
                    <w14:schemeClr w14:val="tx1"/>
                  </w14:solidFill>
                </w14:textFill>
              </w:rPr>
            </w:pPr>
            <w:r>
              <w:rPr>
                <w:i/>
                <w:color w:val="000000" w:themeColor="text1"/>
                <w:lang w:val="en-US" w:eastAsia="zh-CN"/>
                <w14:textFill>
                  <w14:solidFill>
                    <w14:schemeClr w14:val="tx1"/>
                  </w14:solidFill>
                </w14:textFill>
              </w:rPr>
              <w:t>Codepoint</w:t>
            </w:r>
          </w:p>
        </w:tc>
        <w:tc>
          <w:tcPr>
            <w:tcW w:w="2368" w:type="dxa"/>
            <w:shd w:val="clear" w:color="auto" w:fill="E7E6E6"/>
          </w:tcPr>
          <w:p>
            <w:pPr>
              <w:pStyle w:val="87"/>
              <w:rPr>
                <w:i/>
                <w:iCs/>
                <w:color w:val="000000" w:themeColor="text1"/>
                <w:lang w:val="en-US" w:eastAsia="zh-CN"/>
                <w14:textFill>
                  <w14:solidFill>
                    <w14:schemeClr w14:val="tx1"/>
                  </w14:solidFill>
                </w14:textFill>
              </w:rPr>
            </w:pPr>
            <w:r>
              <w:rPr>
                <w:i/>
                <w:color w:val="000000" w:themeColor="text1"/>
                <w14:textFill>
                  <w14:solidFill>
                    <w14:schemeClr w14:val="tx1"/>
                  </w14:solidFill>
                </w14:textFill>
              </w:rPr>
              <w:t>I</w:t>
            </w:r>
            <w:r>
              <w:rPr>
                <w:i/>
                <w:color w:val="000000" w:themeColor="text1"/>
                <w:vertAlign w:val="subscript"/>
                <w14:textFill>
                  <w14:solidFill>
                    <w14:schemeClr w14:val="tx1"/>
                  </w14:solidFill>
                </w14:textFill>
              </w:rPr>
              <w:t>MCS</w:t>
            </w:r>
          </w:p>
        </w:tc>
        <w:tc>
          <w:tcPr>
            <w:tcW w:w="290" w:type="dxa"/>
            <w:shd w:val="clear" w:color="auto" w:fill="E7E6E6"/>
          </w:tcPr>
          <w:p>
            <w:pPr>
              <w:pStyle w:val="87"/>
              <w:rPr>
                <w:color w:val="000000" w:themeColor="text1"/>
                <w:lang w:val="en-US" w:eastAsia="zh-CN"/>
                <w14:textFill>
                  <w14:solidFill>
                    <w14:schemeClr w14:val="tx1"/>
                  </w14:solidFill>
                </w14:textFill>
              </w:rPr>
            </w:pPr>
          </w:p>
        </w:tc>
        <w:tc>
          <w:tcPr>
            <w:tcW w:w="2303" w:type="dxa"/>
            <w:shd w:val="clear" w:color="auto" w:fill="E7E6E6"/>
          </w:tcPr>
          <w:p>
            <w:pPr>
              <w:pStyle w:val="87"/>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Codepoint</w:t>
            </w:r>
          </w:p>
        </w:tc>
        <w:tc>
          <w:tcPr>
            <w:tcW w:w="2304" w:type="dxa"/>
            <w:shd w:val="clear" w:color="auto" w:fill="E7E6E6"/>
          </w:tcPr>
          <w:p>
            <w:pPr>
              <w:pStyle w:val="87"/>
              <w:rPr>
                <w:i/>
                <w:iCs/>
                <w:color w:val="000000" w:themeColor="text1"/>
                <w:lang w:val="en-US" w:eastAsia="zh-CN"/>
                <w14:textFill>
                  <w14:solidFill>
                    <w14:schemeClr w14:val="tx1"/>
                  </w14:solidFill>
                </w14:textFill>
              </w:rPr>
            </w:pPr>
            <w:r>
              <w:rPr>
                <w:i/>
                <w:color w:val="000000" w:themeColor="text1"/>
                <w14:textFill>
                  <w14:solidFill>
                    <w14:schemeClr w14:val="tx1"/>
                  </w14:solidFill>
                </w14:textFill>
              </w:rPr>
              <w:t>I</w:t>
            </w:r>
            <w:r>
              <w:rPr>
                <w:i/>
                <w:color w:val="000000" w:themeColor="text1"/>
                <w:vertAlign w:val="subscript"/>
                <w14:textFill>
                  <w14:solidFill>
                    <w14:schemeClr w14:val="tx1"/>
                  </w14:solidFill>
                </w14:textFill>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00</w:t>
            </w:r>
            <w:r>
              <w:rPr>
                <w:rFonts w:hint="eastAsia"/>
                <w:color w:val="000000" w:themeColor="text1"/>
                <w:lang w:val="en-US" w:eastAsia="zh-CN"/>
                <w14:textFill>
                  <w14:solidFill>
                    <w14:schemeClr w14:val="tx1"/>
                  </w14:solidFill>
                </w14:textFill>
              </w:rPr>
              <w:t>0</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First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00</w:t>
            </w:r>
            <w:r>
              <w:rPr>
                <w:rFonts w:hint="eastAsia"/>
                <w:color w:val="000000" w:themeColor="text1"/>
                <w:lang w:val="en-US" w:eastAsia="zh-CN"/>
                <w14:textFill>
                  <w14:solidFill>
                    <w14:schemeClr w14:val="tx1"/>
                  </w14:solidFill>
                </w14:textFill>
              </w:rPr>
              <w:t>0</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01</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Second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01</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10</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Third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10</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11</w:t>
            </w:r>
          </w:p>
        </w:tc>
        <w:tc>
          <w:tcPr>
            <w:tcW w:w="2368" w:type="dxa"/>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 xml:space="preserve">Fourth 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fr-FR" w:eastAsia="zh-CN"/>
                <w14:textFill>
                  <w14:solidFill>
                    <w14:schemeClr w14:val="tx1"/>
                  </w14:solidFill>
                </w14:textFill>
              </w:rPr>
              <w:t>11</w:t>
            </w:r>
          </w:p>
        </w:tc>
        <w:tc>
          <w:tcPr>
            <w:tcW w:w="2304" w:type="dxa"/>
            <w:vAlign w:val="center"/>
          </w:tcPr>
          <w:p>
            <w:pPr>
              <w:pStyle w:val="88"/>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w:t>
            </w:r>
            <w:r>
              <w:rPr>
                <w:rFonts w:hint="eastAsia"/>
                <w:color w:val="000000" w:themeColor="text1"/>
                <w:lang w:val="en-US" w:eastAsia="zh-CN"/>
                <w14:textFill>
                  <w14:solidFill>
                    <w14:schemeClr w14:val="tx1"/>
                  </w14:solidFill>
                </w14:textFill>
              </w:rPr>
              <w:t>0</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Fifth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w:t>
            </w:r>
            <w:r>
              <w:rPr>
                <w:rFonts w:hint="eastAsia"/>
                <w:color w:val="000000" w:themeColor="text1"/>
                <w:lang w:val="en-US" w:eastAsia="zh-CN"/>
                <w14:textFill>
                  <w14:solidFill>
                    <w14:schemeClr w14:val="tx1"/>
                  </w14:solidFill>
                </w14:textFill>
              </w:rPr>
              <w:t>0</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01</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Sixth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en-US" w:eastAsia="zh-CN"/>
                <w14:textFill>
                  <w14:solidFill>
                    <w14:schemeClr w14:val="tx1"/>
                  </w14:solidFill>
                </w14:textFill>
              </w:rPr>
              <w:t>01</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10</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Seventh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10</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11</w:t>
            </w:r>
          </w:p>
        </w:tc>
        <w:tc>
          <w:tcPr>
            <w:tcW w:w="2368" w:type="dxa"/>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Eighth </w:t>
            </w:r>
            <w:r>
              <w:rPr>
                <w:color w:val="000000" w:themeColor="text1"/>
                <w:lang w:val="en-US" w:eastAsia="zh-CN"/>
                <w14:textFill>
                  <w14:solidFill>
                    <w14:schemeClr w14:val="tx1"/>
                  </w14:solidFill>
                </w14:textFill>
              </w:rPr>
              <w:t xml:space="preserve">value of </w:t>
            </w:r>
            <w:r>
              <w:rPr>
                <w:i/>
                <w:iCs/>
                <w:strike/>
                <w:color w:val="FF0000"/>
              </w:rPr>
              <w:t>mcs-Msg3Repetition</w:t>
            </w:r>
            <w:r>
              <w:rPr>
                <w:i/>
                <w:iCs/>
                <w:color w:val="FF0000"/>
                <w:u w:val="single"/>
              </w:rPr>
              <w:t>mcs-Msg3-Repetitions</w:t>
            </w:r>
          </w:p>
        </w:tc>
        <w:tc>
          <w:tcPr>
            <w:tcW w:w="290" w:type="dxa"/>
          </w:tcPr>
          <w:p>
            <w:pPr>
              <w:pStyle w:val="88"/>
              <w:rPr>
                <w:color w:val="000000" w:themeColor="text1"/>
                <w:lang w:val="en-US" w:eastAsia="zh-CN"/>
                <w14:textFill>
                  <w14:solidFill>
                    <w14:schemeClr w14:val="tx1"/>
                  </w14:solidFill>
                </w14:textFill>
              </w:rPr>
            </w:pPr>
          </w:p>
        </w:tc>
        <w:tc>
          <w:tcPr>
            <w:tcW w:w="2303" w:type="dxa"/>
            <w:vAlign w:val="center"/>
          </w:tcPr>
          <w:p>
            <w:pPr>
              <w:pStyle w:val="88"/>
              <w:rPr>
                <w:color w:val="000000" w:themeColor="text1"/>
                <w:lang w:val="fr-FR"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color w:val="000000" w:themeColor="text1"/>
                <w:lang w:val="fr-FR" w:eastAsia="zh-CN"/>
                <w14:textFill>
                  <w14:solidFill>
                    <w14:schemeClr w14:val="tx1"/>
                  </w14:solidFill>
                </w14:textFill>
              </w:rPr>
              <w:t>11</w:t>
            </w:r>
          </w:p>
        </w:tc>
        <w:tc>
          <w:tcPr>
            <w:tcW w:w="2304" w:type="dxa"/>
            <w:vAlign w:val="center"/>
          </w:tcPr>
          <w:p>
            <w:pPr>
              <w:pStyle w:val="88"/>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r>
    </w:tbl>
    <w:p>
      <w:pPr>
        <w:spacing w:before="120" w:line="280" w:lineRule="atLeast"/>
      </w:pPr>
      <w:bookmarkStart w:id="30" w:name="_GoBack"/>
      <w:bookmarkEnd w:id="30"/>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0ED3"/>
    <w:rsid w:val="00E34898"/>
    <w:rsid w:val="00E36733"/>
    <w:rsid w:val="00E4725F"/>
    <w:rsid w:val="00E6243F"/>
    <w:rsid w:val="00E654B4"/>
    <w:rsid w:val="00E66AB7"/>
    <w:rsid w:val="00E93315"/>
    <w:rsid w:val="00EA70A1"/>
    <w:rsid w:val="00EB09B7"/>
    <w:rsid w:val="00EC5A9E"/>
    <w:rsid w:val="00EE57A8"/>
    <w:rsid w:val="00EE7D7C"/>
    <w:rsid w:val="00F01969"/>
    <w:rsid w:val="00F04C49"/>
    <w:rsid w:val="00F1475A"/>
    <w:rsid w:val="00F219AE"/>
    <w:rsid w:val="00F25569"/>
    <w:rsid w:val="00F25D98"/>
    <w:rsid w:val="00F300FB"/>
    <w:rsid w:val="00F33AC6"/>
    <w:rsid w:val="00F45650"/>
    <w:rsid w:val="00F50B8A"/>
    <w:rsid w:val="00F52361"/>
    <w:rsid w:val="00F8534E"/>
    <w:rsid w:val="00FA3268"/>
    <w:rsid w:val="00FB6386"/>
    <w:rsid w:val="00FD4CF5"/>
    <w:rsid w:val="01D1166F"/>
    <w:rsid w:val="060530CF"/>
    <w:rsid w:val="095F7B6B"/>
    <w:rsid w:val="0F6F6996"/>
    <w:rsid w:val="0FE11E2F"/>
    <w:rsid w:val="100D2418"/>
    <w:rsid w:val="108128B6"/>
    <w:rsid w:val="11795505"/>
    <w:rsid w:val="12FE71E1"/>
    <w:rsid w:val="16901BD3"/>
    <w:rsid w:val="18E156D4"/>
    <w:rsid w:val="23082FF3"/>
    <w:rsid w:val="23AA0544"/>
    <w:rsid w:val="23F021A2"/>
    <w:rsid w:val="2504350C"/>
    <w:rsid w:val="258305F0"/>
    <w:rsid w:val="26145B6D"/>
    <w:rsid w:val="28D74209"/>
    <w:rsid w:val="29C7379B"/>
    <w:rsid w:val="2C531A44"/>
    <w:rsid w:val="2CAE3862"/>
    <w:rsid w:val="2CD07E7E"/>
    <w:rsid w:val="2CD91AD9"/>
    <w:rsid w:val="2D144FBE"/>
    <w:rsid w:val="2D92105F"/>
    <w:rsid w:val="2D9846E7"/>
    <w:rsid w:val="2FC06DFE"/>
    <w:rsid w:val="30D15421"/>
    <w:rsid w:val="314E2AD2"/>
    <w:rsid w:val="3346148A"/>
    <w:rsid w:val="33E533B2"/>
    <w:rsid w:val="34FB03FF"/>
    <w:rsid w:val="35802D75"/>
    <w:rsid w:val="35AC0DCE"/>
    <w:rsid w:val="35EC292D"/>
    <w:rsid w:val="36FE44E2"/>
    <w:rsid w:val="371252EA"/>
    <w:rsid w:val="3C174EA9"/>
    <w:rsid w:val="3D6B0E83"/>
    <w:rsid w:val="3F717620"/>
    <w:rsid w:val="3FE2657F"/>
    <w:rsid w:val="40AD6321"/>
    <w:rsid w:val="411D565E"/>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0E6720"/>
    <w:rsid w:val="5E1A42F3"/>
    <w:rsid w:val="631F6294"/>
    <w:rsid w:val="65CB1B40"/>
    <w:rsid w:val="684C17B2"/>
    <w:rsid w:val="6996231C"/>
    <w:rsid w:val="69A235DB"/>
    <w:rsid w:val="69FF0B0D"/>
    <w:rsid w:val="6C441E93"/>
    <w:rsid w:val="6CB8404C"/>
    <w:rsid w:val="6DB8537A"/>
    <w:rsid w:val="6E791DCC"/>
    <w:rsid w:val="6F5D4925"/>
    <w:rsid w:val="70D73DA8"/>
    <w:rsid w:val="71F3248C"/>
    <w:rsid w:val="72181CD8"/>
    <w:rsid w:val="7560609B"/>
    <w:rsid w:val="75BF76E4"/>
    <w:rsid w:val="75E90518"/>
    <w:rsid w:val="77707001"/>
    <w:rsid w:val="793344C5"/>
    <w:rsid w:val="7A2D0481"/>
    <w:rsid w:val="7F94178B"/>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99"/>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10DE1F-6A15-4F8A-A0E3-765BE9C93C5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2141</Words>
  <Characters>12209</Characters>
  <Lines>101</Lines>
  <Paragraphs>28</Paragraphs>
  <TotalTime>1</TotalTime>
  <ScaleCrop>false</ScaleCrop>
  <LinksUpToDate>false</LinksUpToDate>
  <CharactersWithSpaces>14322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2022-08-12T06:19:00Z</dcterms:created>
  <dc:creator>Michael Sanders, John M Meredith</dc:creator>
  <cp:lastModifiedBy>ZTE</cp:lastModifiedBy>
  <cp:lastPrinted>2411-12-31T15:59:00Z</cp:lastPrinted>
  <dcterms:modified xsi:type="dcterms:W3CDTF">2022-08-15T11:22:22Z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